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CF893" w14:textId="0AEEB361" w:rsidR="009E1952" w:rsidRPr="001A5B2A" w:rsidRDefault="009E1952" w:rsidP="009E1952">
      <w:pPr>
        <w:tabs>
          <w:tab w:val="right" w:pos="9630"/>
        </w:tabs>
      </w:pPr>
      <w:bookmarkStart w:id="0" w:name="_Ref494746248"/>
      <w:r w:rsidRPr="001A5B2A">
        <w:rPr>
          <w:rFonts w:ascii="Arial" w:hAnsi="Arial" w:cs="Arial"/>
          <w:b/>
          <w:sz w:val="24"/>
        </w:rPr>
        <w:t xml:space="preserve">3GPP TSG RAN </w:t>
      </w:r>
      <w:r w:rsidR="00411E82">
        <w:rPr>
          <w:rFonts w:ascii="Arial" w:hAnsi="Arial" w:cs="Arial"/>
          <w:b/>
          <w:sz w:val="24"/>
        </w:rPr>
        <w:t>Meeting 81</w:t>
      </w:r>
      <w:r w:rsidRPr="001A5B2A">
        <w:rPr>
          <w:rFonts w:ascii="Arial" w:hAnsi="Arial" w:cs="Arial"/>
          <w:b/>
          <w:sz w:val="24"/>
        </w:rPr>
        <w:tab/>
        <w:t>R</w:t>
      </w:r>
      <w:r w:rsidR="003354AB">
        <w:rPr>
          <w:rFonts w:ascii="Arial" w:hAnsi="Arial" w:cs="Arial"/>
          <w:b/>
          <w:sz w:val="24"/>
        </w:rPr>
        <w:t>P</w:t>
      </w:r>
      <w:r w:rsidRPr="001A5B2A">
        <w:rPr>
          <w:rFonts w:ascii="Arial" w:hAnsi="Arial" w:cs="Arial"/>
          <w:b/>
          <w:sz w:val="24"/>
        </w:rPr>
        <w:t>-</w:t>
      </w:r>
      <w:r w:rsidR="00613895" w:rsidRPr="00613895">
        <w:rPr>
          <w:rFonts w:ascii="Arial" w:hAnsi="Arial" w:cs="Arial"/>
          <w:b/>
          <w:sz w:val="24"/>
        </w:rPr>
        <w:t>18</w:t>
      </w:r>
      <w:r w:rsidR="00682547">
        <w:rPr>
          <w:rFonts w:ascii="Arial" w:hAnsi="Arial" w:cs="Arial"/>
          <w:b/>
          <w:sz w:val="24"/>
        </w:rPr>
        <w:t>1668</w:t>
      </w:r>
    </w:p>
    <w:p w14:paraId="1D1CB4FD" w14:textId="2028CF95" w:rsidR="00680B9E" w:rsidRPr="00DA12F7" w:rsidRDefault="003E54DF" w:rsidP="00680B9E">
      <w:pPr>
        <w:tabs>
          <w:tab w:val="right" w:pos="9630"/>
        </w:tabs>
        <w:spacing w:after="0"/>
        <w:rPr>
          <w:rFonts w:ascii="Arial" w:hAnsi="Arial" w:cs="Arial"/>
          <w:b/>
          <w:sz w:val="24"/>
          <w:szCs w:val="24"/>
        </w:rPr>
      </w:pPr>
      <w:r>
        <w:rPr>
          <w:rFonts w:ascii="Arial" w:hAnsi="Arial" w:cs="Arial"/>
          <w:b/>
          <w:sz w:val="24"/>
          <w:szCs w:val="24"/>
        </w:rPr>
        <w:t>Gold Coast, Australia, September 10 – 13, 2018</w:t>
      </w:r>
      <w:r w:rsidR="001B29AC">
        <w:rPr>
          <w:rFonts w:ascii="Arial" w:hAnsi="Arial" w:cs="Arial"/>
          <w:b/>
          <w:sz w:val="24"/>
          <w:szCs w:val="24"/>
        </w:rPr>
        <w:tab/>
      </w:r>
    </w:p>
    <w:p w14:paraId="71580EA5" w14:textId="77777777" w:rsidR="00680B9E" w:rsidRPr="000A64D8" w:rsidRDefault="00680B9E" w:rsidP="00680B9E">
      <w:pPr>
        <w:pStyle w:val="Footer"/>
        <w:jc w:val="both"/>
        <w:rPr>
          <w:noProof w:val="0"/>
        </w:rPr>
      </w:pPr>
    </w:p>
    <w:p w14:paraId="5A36CDBF" w14:textId="12471B22"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682547">
        <w:rPr>
          <w:rFonts w:ascii="Arial" w:hAnsi="Arial"/>
          <w:sz w:val="24"/>
        </w:rPr>
        <w:t>9.2.1</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17593A4B"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82547">
        <w:rPr>
          <w:rFonts w:ascii="Arial" w:hAnsi="Arial"/>
          <w:sz w:val="22"/>
        </w:rPr>
        <w:t>Vie</w:t>
      </w:r>
      <w:r w:rsidR="00682547" w:rsidRPr="00682547">
        <w:rPr>
          <w:rFonts w:ascii="Arial" w:hAnsi="Arial"/>
          <w:sz w:val="22"/>
        </w:rPr>
        <w:t>ws on Support of cross-carrier scheduling with different numerologies in NR Rel-15</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5F9B6AB3" w14:textId="2791C6DA" w:rsidR="00E4038C" w:rsidRDefault="0008287D" w:rsidP="0008287D">
      <w:pPr>
        <w:pStyle w:val="Heading1"/>
        <w:numPr>
          <w:ilvl w:val="0"/>
          <w:numId w:val="0"/>
        </w:numPr>
        <w:ind w:left="432" w:hanging="432"/>
        <w:textAlignment w:val="auto"/>
      </w:pPr>
      <w:r>
        <w:t>1</w:t>
      </w:r>
      <w:r>
        <w:tab/>
      </w:r>
      <w:r w:rsidR="00E4038C">
        <w:t>Introduction</w:t>
      </w:r>
      <w:bookmarkEnd w:id="0"/>
    </w:p>
    <w:p w14:paraId="43BAE48D" w14:textId="77777777" w:rsidR="00AB684C" w:rsidRDefault="00AB684C" w:rsidP="00AB684C">
      <w:pPr>
        <w:overflowPunct/>
        <w:autoSpaceDE/>
        <w:autoSpaceDN/>
        <w:adjustRightInd/>
        <w:spacing w:after="0"/>
        <w:textAlignment w:val="auto"/>
        <w:rPr>
          <w:lang w:val="en-GB"/>
        </w:rPr>
      </w:pPr>
      <w:r>
        <w:rPr>
          <w:lang w:val="en-GB"/>
        </w:rPr>
        <w:t xml:space="preserve">The support of NR-NR CA with up to 2 different numerologies within the same PUCCH group (PUCCH sent on the CC with smaller SCS) was agreed in RAN#78. </w:t>
      </w:r>
    </w:p>
    <w:p w14:paraId="478375EC" w14:textId="77777777" w:rsidR="00AB684C" w:rsidRDefault="00AB684C" w:rsidP="00AB684C">
      <w:pPr>
        <w:overflowPunct/>
        <w:autoSpaceDE/>
        <w:autoSpaceDN/>
        <w:adjustRightInd/>
        <w:spacing w:after="0"/>
        <w:textAlignment w:val="auto"/>
      </w:pPr>
    </w:p>
    <w:p w14:paraId="7D92EE4B" w14:textId="77777777" w:rsidR="00DD4C97" w:rsidRDefault="003354AB" w:rsidP="00AB684C">
      <w:pPr>
        <w:overflowPunct/>
        <w:autoSpaceDE/>
        <w:autoSpaceDN/>
        <w:adjustRightInd/>
        <w:spacing w:after="0"/>
        <w:textAlignment w:val="auto"/>
      </w:pPr>
      <w:r>
        <w:t xml:space="preserve">While most of the issues for cross-carrier scheduling for same numerology </w:t>
      </w:r>
      <w:r w:rsidR="00AB684C">
        <w:t xml:space="preserve">were </w:t>
      </w:r>
      <w:r>
        <w:t xml:space="preserve">resolved in RAN1#94, there remain some details to be decided for cross-carrier scheduling </w:t>
      </w:r>
      <w:r w:rsidR="006B4EF1">
        <w:t xml:space="preserve">with different </w:t>
      </w:r>
      <w:r>
        <w:t>numerolog</w:t>
      </w:r>
      <w:r w:rsidR="006B4EF1">
        <w:t>ies</w:t>
      </w:r>
      <w:r>
        <w:t>.</w:t>
      </w:r>
      <w:r w:rsidR="00AB684C">
        <w:t xml:space="preserve"> To that end, the removal of this feature from Rel-15 was brought up in RAN1#94 alleging much remaining work to complete the specification of the feature.</w:t>
      </w:r>
    </w:p>
    <w:p w14:paraId="41BFB3ED" w14:textId="77777777" w:rsidR="00DD4C97" w:rsidRDefault="00DD4C97" w:rsidP="00AB684C">
      <w:pPr>
        <w:overflowPunct/>
        <w:autoSpaceDE/>
        <w:autoSpaceDN/>
        <w:adjustRightInd/>
        <w:spacing w:after="0"/>
        <w:textAlignment w:val="auto"/>
      </w:pPr>
    </w:p>
    <w:p w14:paraId="26A0C9D7" w14:textId="40A110C0" w:rsidR="003354AB" w:rsidRPr="00AB684C" w:rsidRDefault="00DD4C97" w:rsidP="00AB684C">
      <w:pPr>
        <w:overflowPunct/>
        <w:autoSpaceDE/>
        <w:autoSpaceDN/>
        <w:adjustRightInd/>
        <w:spacing w:after="0"/>
        <w:textAlignment w:val="auto"/>
        <w:rPr>
          <w:lang w:val="en-GB"/>
        </w:rPr>
      </w:pPr>
      <w:r>
        <w:t>In this contribution we analyze the feat</w:t>
      </w:r>
      <w:r w:rsidR="002C2D7E">
        <w:t xml:space="preserve">ure and the work remaining to complete its specification to decide whether or not to attempt completion within Rel-15 (as a correction). </w:t>
      </w:r>
      <w:r w:rsidR="00AB684C">
        <w:t xml:space="preserve"> </w:t>
      </w:r>
    </w:p>
    <w:p w14:paraId="5B8AF798" w14:textId="77777777" w:rsidR="00E315C4" w:rsidRPr="002C2D7E" w:rsidRDefault="00E315C4" w:rsidP="00E77B90">
      <w:pPr>
        <w:tabs>
          <w:tab w:val="left" w:pos="720"/>
        </w:tabs>
        <w:overflowPunct/>
        <w:autoSpaceDE/>
        <w:autoSpaceDN/>
        <w:adjustRightInd/>
        <w:spacing w:after="120"/>
        <w:textAlignment w:val="auto"/>
        <w:rPr>
          <w:lang w:val="en-GB"/>
        </w:rPr>
      </w:pPr>
    </w:p>
    <w:p w14:paraId="0084B046" w14:textId="0DBB2AAD" w:rsidR="009B719B" w:rsidRDefault="0008287D" w:rsidP="0008287D">
      <w:pPr>
        <w:pStyle w:val="Heading1"/>
        <w:numPr>
          <w:ilvl w:val="0"/>
          <w:numId w:val="0"/>
        </w:numPr>
        <w:ind w:left="432" w:hanging="432"/>
      </w:pPr>
      <w:bookmarkStart w:id="3" w:name="_Ref510803863"/>
      <w:r>
        <w:t>2</w:t>
      </w:r>
      <w:r>
        <w:tab/>
        <w:t>Open issues</w:t>
      </w:r>
      <w:bookmarkEnd w:id="3"/>
    </w:p>
    <w:p w14:paraId="03E19920" w14:textId="6F505E92" w:rsidR="002C2D7E" w:rsidRDefault="002C2D7E" w:rsidP="002C2D7E">
      <w:pPr>
        <w:tabs>
          <w:tab w:val="left" w:pos="720"/>
        </w:tabs>
        <w:overflowPunct/>
        <w:autoSpaceDE/>
        <w:autoSpaceDN/>
        <w:adjustRightInd/>
        <w:spacing w:after="120"/>
        <w:textAlignment w:val="auto"/>
      </w:pPr>
      <w:r>
        <w:t>In the following, a summary of the open items to support cross-carrier scheduling with different numerologies</w:t>
      </w:r>
      <w:r>
        <w:t xml:space="preserve"> is discussed:</w:t>
      </w:r>
    </w:p>
    <w:p w14:paraId="7948FF39" w14:textId="4A49DEA5" w:rsidR="002C2D7E" w:rsidRDefault="002C2D7E" w:rsidP="002C2D7E">
      <w:pPr>
        <w:pStyle w:val="ListParagraph"/>
        <w:numPr>
          <w:ilvl w:val="0"/>
          <w:numId w:val="15"/>
        </w:numPr>
        <w:tabs>
          <w:tab w:val="left" w:pos="720"/>
        </w:tabs>
      </w:pPr>
      <w:r w:rsidRPr="0008287D">
        <w:rPr>
          <w:b/>
        </w:rPr>
        <w:t>Issue 1</w:t>
      </w:r>
      <w:r>
        <w:t>: Scheduling control to scheduled data (allowed) timing relationships</w:t>
      </w:r>
    </w:p>
    <w:p w14:paraId="2F9BA94B" w14:textId="2227F256" w:rsidR="002C2D7E" w:rsidRDefault="002C2D7E" w:rsidP="002C2D7E">
      <w:pPr>
        <w:pStyle w:val="ListParagraph"/>
        <w:numPr>
          <w:ilvl w:val="0"/>
          <w:numId w:val="15"/>
        </w:numPr>
        <w:tabs>
          <w:tab w:val="left" w:pos="720"/>
        </w:tabs>
      </w:pPr>
      <w:r w:rsidRPr="0008287D">
        <w:rPr>
          <w:b/>
        </w:rPr>
        <w:t>Issue 2</w:t>
      </w:r>
      <w:r>
        <w:t>: CCE/BD limits and overbooking handling</w:t>
      </w:r>
    </w:p>
    <w:p w14:paraId="477BA384" w14:textId="0A4712A2" w:rsidR="002C2D7E" w:rsidRDefault="002C2D7E" w:rsidP="002C2D7E">
      <w:pPr>
        <w:pStyle w:val="ListParagraph"/>
        <w:numPr>
          <w:ilvl w:val="0"/>
          <w:numId w:val="15"/>
        </w:numPr>
        <w:tabs>
          <w:tab w:val="left" w:pos="720"/>
        </w:tabs>
      </w:pPr>
      <w:r w:rsidRPr="0008287D">
        <w:rPr>
          <w:b/>
        </w:rPr>
        <w:t>Issue 3</w:t>
      </w:r>
      <w:r>
        <w:t>: Number of valid scheduling DCI capability</w:t>
      </w:r>
    </w:p>
    <w:p w14:paraId="69BB6183" w14:textId="30D4AE85" w:rsidR="00E909D9" w:rsidRDefault="00E909D9" w:rsidP="00E909D9">
      <w:bookmarkStart w:id="4" w:name="_Toc503314554"/>
      <w:bookmarkStart w:id="5" w:name="_Toc503531337"/>
      <w:bookmarkStart w:id="6" w:name="_Ref503531383"/>
      <w:bookmarkEnd w:id="4"/>
      <w:bookmarkEnd w:id="5"/>
    </w:p>
    <w:p w14:paraId="7F0B4501" w14:textId="50E4C41D" w:rsidR="0008287D" w:rsidRDefault="0008287D" w:rsidP="0008287D">
      <w:pPr>
        <w:pStyle w:val="Heading2"/>
        <w:numPr>
          <w:ilvl w:val="0"/>
          <w:numId w:val="0"/>
        </w:numPr>
        <w:ind w:left="576" w:hanging="576"/>
      </w:pPr>
      <w:r>
        <w:t>2.1</w:t>
      </w:r>
      <w:r>
        <w:tab/>
      </w:r>
      <w:r w:rsidR="009B03FD">
        <w:t>I</w:t>
      </w:r>
      <w:r>
        <w:t xml:space="preserve">ssue 1: </w:t>
      </w:r>
      <w:r w:rsidR="00D60243">
        <w:t>Scheduling control to scheduled data (allowed) timing relationships</w:t>
      </w:r>
    </w:p>
    <w:p w14:paraId="6A37F037" w14:textId="2071B970" w:rsidR="00934547" w:rsidRDefault="0008287D" w:rsidP="0008287D">
      <w:pPr>
        <w:tabs>
          <w:tab w:val="left" w:pos="720"/>
        </w:tabs>
        <w:overflowPunct/>
        <w:autoSpaceDE/>
        <w:autoSpaceDN/>
        <w:adjustRightInd/>
        <w:spacing w:after="120"/>
        <w:textAlignment w:val="auto"/>
      </w:pPr>
      <w:r>
        <w:t xml:space="preserve">Issue 1 is particularly critical as it determines UE requirements related to additional </w:t>
      </w:r>
      <w:r w:rsidR="00A66685" w:rsidRPr="0008287D">
        <w:t xml:space="preserve">buffering and </w:t>
      </w:r>
      <w:r>
        <w:t>non-</w:t>
      </w:r>
      <w:r w:rsidR="00A66685" w:rsidRPr="0008287D">
        <w:t>ca</w:t>
      </w:r>
      <w:r w:rsidR="002A7BAA" w:rsidRPr="0008287D">
        <w:t>u</w:t>
      </w:r>
      <w:r>
        <w:t xml:space="preserve">sal processing. </w:t>
      </w:r>
    </w:p>
    <w:p w14:paraId="28BFA24F" w14:textId="556CE1CF" w:rsidR="00CE1698" w:rsidRDefault="0008287D" w:rsidP="0008287D">
      <w:pPr>
        <w:tabs>
          <w:tab w:val="left" w:pos="720"/>
        </w:tabs>
        <w:overflowPunct/>
        <w:autoSpaceDE/>
        <w:autoSpaceDN/>
        <w:adjustRightInd/>
        <w:spacing w:after="120"/>
        <w:textAlignment w:val="auto"/>
      </w:pPr>
      <w:r>
        <w:t xml:space="preserve">The boundary conditions for this were agreed in the past (RAN1#93) where the following agreements were made: </w:t>
      </w:r>
    </w:p>
    <w:p w14:paraId="5AC2782E" w14:textId="77777777" w:rsidR="00CE1698" w:rsidRPr="00737B2D" w:rsidRDefault="00CE1698" w:rsidP="00CE1698">
      <w:pPr>
        <w:pStyle w:val="ListParagraph"/>
        <w:numPr>
          <w:ilvl w:val="0"/>
          <w:numId w:val="0"/>
        </w:numPr>
        <w:rPr>
          <w:b/>
          <w:szCs w:val="20"/>
        </w:rPr>
      </w:pPr>
      <w:r w:rsidRPr="00737B2D">
        <w:rPr>
          <w:b/>
          <w:szCs w:val="20"/>
          <w:highlight w:val="green"/>
        </w:rPr>
        <w:t>Agreements</w:t>
      </w:r>
      <w:r w:rsidRPr="00737B2D">
        <w:rPr>
          <w:b/>
          <w:szCs w:val="20"/>
        </w:rPr>
        <w:t>:</w:t>
      </w:r>
    </w:p>
    <w:p w14:paraId="7189617D" w14:textId="77777777" w:rsidR="00CE1698" w:rsidRPr="00737B2D" w:rsidRDefault="00CE1698" w:rsidP="00BB4DC6">
      <w:pPr>
        <w:numPr>
          <w:ilvl w:val="0"/>
          <w:numId w:val="8"/>
        </w:numPr>
        <w:overflowPunct/>
        <w:autoSpaceDE/>
        <w:autoSpaceDN/>
        <w:adjustRightInd/>
        <w:spacing w:after="0"/>
        <w:textAlignment w:val="auto"/>
        <w:rPr>
          <w:b/>
          <w:u w:val="single"/>
          <w:lang w:eastAsia="zh-TW"/>
        </w:rPr>
      </w:pPr>
      <w:r w:rsidRPr="00737B2D">
        <w:t>Cross-carrier scheduling should at least satisfy the causality constraints between scheduling PDCCH and PDSCH as for self-scheduling, also taking into carrier timing difference</w:t>
      </w:r>
    </w:p>
    <w:p w14:paraId="3E6DDE03" w14:textId="77777777" w:rsidR="00CE1698" w:rsidRPr="00737B2D" w:rsidRDefault="00CE1698" w:rsidP="00BB4DC6">
      <w:pPr>
        <w:pStyle w:val="ListParagraph"/>
        <w:numPr>
          <w:ilvl w:val="1"/>
          <w:numId w:val="8"/>
        </w:numPr>
        <w:spacing w:after="0"/>
        <w:rPr>
          <w:szCs w:val="20"/>
        </w:rPr>
      </w:pPr>
      <w:r w:rsidRPr="00737B2D">
        <w:rPr>
          <w:szCs w:val="20"/>
        </w:rPr>
        <w:t>Note: in the case of mixed numerology, limitations on the number of symbols to buffer need to be taken into account</w:t>
      </w:r>
    </w:p>
    <w:p w14:paraId="2D36D1F6" w14:textId="77777777" w:rsidR="00CE1698" w:rsidRPr="002F74E8" w:rsidRDefault="00CE1698" w:rsidP="00BB4DC6">
      <w:pPr>
        <w:numPr>
          <w:ilvl w:val="0"/>
          <w:numId w:val="9"/>
        </w:numPr>
        <w:tabs>
          <w:tab w:val="left" w:pos="720"/>
        </w:tabs>
        <w:overflowPunct/>
        <w:autoSpaceDE/>
        <w:autoSpaceDN/>
        <w:adjustRightInd/>
        <w:spacing w:after="120"/>
        <w:textAlignment w:val="auto"/>
        <w:rPr>
          <w:b/>
          <w:u w:val="single"/>
          <w:lang w:val="en-GB"/>
        </w:rPr>
      </w:pPr>
      <w:r w:rsidRPr="002F74E8">
        <w:rPr>
          <w:lang w:val="en-GB"/>
        </w:rPr>
        <w:t>For cross-carrier scheduling across different numerology</w:t>
      </w:r>
    </w:p>
    <w:p w14:paraId="2B2186B0" w14:textId="77777777" w:rsidR="00CE1698" w:rsidRPr="002F74E8" w:rsidRDefault="00CE1698" w:rsidP="00BB4DC6">
      <w:pPr>
        <w:numPr>
          <w:ilvl w:val="1"/>
          <w:numId w:val="9"/>
        </w:numPr>
        <w:tabs>
          <w:tab w:val="left" w:pos="720"/>
        </w:tabs>
        <w:overflowPunct/>
        <w:autoSpaceDE/>
        <w:autoSpaceDN/>
        <w:adjustRightInd/>
        <w:spacing w:after="120"/>
        <w:textAlignment w:val="auto"/>
        <w:rPr>
          <w:lang w:val="en-GB"/>
        </w:rPr>
      </w:pPr>
      <w:r w:rsidRPr="002F74E8">
        <w:rPr>
          <w:lang w:val="en-GB"/>
        </w:rPr>
        <w:t xml:space="preserve">FFS: how to specify additional constraints related to K0 to address the number of symbols which may need to be buffered </w:t>
      </w:r>
    </w:p>
    <w:p w14:paraId="6703E027" w14:textId="19D078CF" w:rsidR="00D939BB" w:rsidRDefault="00D939BB" w:rsidP="00426770">
      <w:pPr>
        <w:rPr>
          <w:lang w:val="en-GB"/>
        </w:rPr>
      </w:pPr>
      <w:r>
        <w:rPr>
          <w:lang w:val="en-GB"/>
        </w:rPr>
        <w:t>==</w:t>
      </w:r>
    </w:p>
    <w:p w14:paraId="4338C2CD" w14:textId="755207D8" w:rsidR="002A31EF" w:rsidRDefault="00941448" w:rsidP="00426770">
      <w:pPr>
        <w:rPr>
          <w:lang w:val="en-GB"/>
        </w:rPr>
      </w:pPr>
      <w:r>
        <w:rPr>
          <w:lang w:val="en-GB"/>
        </w:rPr>
        <w:t xml:space="preserve">There has been </w:t>
      </w:r>
      <w:r w:rsidR="0080347D">
        <w:rPr>
          <w:lang w:val="en-GB"/>
        </w:rPr>
        <w:t xml:space="preserve">offline </w:t>
      </w:r>
      <w:r>
        <w:rPr>
          <w:lang w:val="en-GB"/>
        </w:rPr>
        <w:t xml:space="preserve">discussion on this issue. </w:t>
      </w:r>
      <w:r w:rsidR="0080347D">
        <w:rPr>
          <w:lang w:val="en-GB"/>
        </w:rPr>
        <w:t xml:space="preserve">The following is </w:t>
      </w:r>
      <w:r w:rsidR="00694BE3">
        <w:rPr>
          <w:lang w:val="en-GB"/>
        </w:rPr>
        <w:t xml:space="preserve">an excerpt </w:t>
      </w:r>
      <w:r w:rsidR="0080347D">
        <w:rPr>
          <w:lang w:val="en-GB"/>
        </w:rPr>
        <w:t xml:space="preserve">from </w:t>
      </w:r>
      <w:r w:rsidR="00694BE3">
        <w:rPr>
          <w:lang w:val="en-GB"/>
        </w:rPr>
        <w:t xml:space="preserve">the </w:t>
      </w:r>
      <w:r w:rsidR="0080347D">
        <w:rPr>
          <w:lang w:val="en-GB"/>
        </w:rPr>
        <w:t xml:space="preserve">feature lead’s summary </w:t>
      </w:r>
      <w:r w:rsidR="009F014A">
        <w:rPr>
          <w:lang w:val="en-GB"/>
        </w:rPr>
        <w:fldChar w:fldCharType="begin"/>
      </w:r>
      <w:r w:rsidR="009F014A">
        <w:rPr>
          <w:lang w:val="en-GB"/>
        </w:rPr>
        <w:instrText xml:space="preserve"> REF _Ref523573305 \r \h </w:instrText>
      </w:r>
      <w:r w:rsidR="009F014A">
        <w:rPr>
          <w:lang w:val="en-GB"/>
        </w:rPr>
      </w:r>
      <w:r w:rsidR="009F014A">
        <w:rPr>
          <w:lang w:val="en-GB"/>
        </w:rPr>
        <w:fldChar w:fldCharType="separate"/>
      </w:r>
      <w:r w:rsidR="009F014A">
        <w:rPr>
          <w:lang w:val="en-GB"/>
        </w:rPr>
        <w:t>[1]</w:t>
      </w:r>
      <w:r w:rsidR="009F014A">
        <w:rPr>
          <w:lang w:val="en-GB"/>
        </w:rPr>
        <w:fldChar w:fldCharType="end"/>
      </w:r>
      <w:r w:rsidR="0080347D">
        <w:rPr>
          <w:lang w:val="en-GB"/>
        </w:rPr>
        <w:t>:</w:t>
      </w:r>
    </w:p>
    <w:p w14:paraId="4E97C4D9" w14:textId="502E986B" w:rsidR="00941448" w:rsidRPr="0080347D" w:rsidRDefault="0080347D" w:rsidP="00426770">
      <w:pPr>
        <w:rPr>
          <w:i/>
          <w:lang w:val="en-GB"/>
        </w:rPr>
      </w:pPr>
      <w:r w:rsidRPr="0080347D">
        <w:rPr>
          <w:i/>
          <w:lang w:val="en-GB"/>
        </w:rPr>
        <w:lastRenderedPageBreak/>
        <w:t>In this meeting, several companies [MTK, HW, QC, Intel] provided proposals for cross carrier scheduling causality to reducing e.g., buffering requirements on UE side. Note that current values in the RRC 38.331 for K0 and K1 now include [0…32], so having minimum K0 scheduling requirements would not hurt the flexibility of NR. So such a requirement would improve implementations.</w:t>
      </w:r>
    </w:p>
    <w:p w14:paraId="2A76BBBD" w14:textId="1D4E3B07" w:rsidR="0080347D" w:rsidRDefault="0080347D" w:rsidP="00E909D9">
      <w:r>
        <w:t>The proposal to define a minimum K0 threshold has also been briefly discussed during online session. The Chairman’s guidance is to cleanly define a set of values in a table that can be defined in the spec. UE capability or RRC configuration options had been ruled out.</w:t>
      </w:r>
    </w:p>
    <w:p w14:paraId="05EA9F7A" w14:textId="47A1A40E" w:rsidR="0080347D" w:rsidRDefault="00235353" w:rsidP="00E909D9">
      <w:r>
        <w:t>For example, the following table can be considered:</w:t>
      </w:r>
    </w:p>
    <w:p w14:paraId="6EF420AE" w14:textId="4044AD39" w:rsidR="00235353" w:rsidRDefault="00235353" w:rsidP="00235353">
      <w:pPr>
        <w:pStyle w:val="Caption"/>
        <w:keepNext/>
      </w:pPr>
      <w:r>
        <w:t xml:space="preserve">Table </w:t>
      </w:r>
      <w:r w:rsidR="000E4B51">
        <w:rPr>
          <w:noProof/>
        </w:rPr>
        <w:fldChar w:fldCharType="begin"/>
      </w:r>
      <w:r w:rsidR="000E4B51">
        <w:rPr>
          <w:noProof/>
        </w:rPr>
        <w:instrText xml:space="preserve"> SEQ Table \* ARABIC </w:instrText>
      </w:r>
      <w:r w:rsidR="000E4B51">
        <w:rPr>
          <w:noProof/>
        </w:rPr>
        <w:fldChar w:fldCharType="separate"/>
      </w:r>
      <w:r>
        <w:rPr>
          <w:noProof/>
        </w:rPr>
        <w:t>1</w:t>
      </w:r>
      <w:r w:rsidR="000E4B51">
        <w:rPr>
          <w:noProof/>
        </w:rPr>
        <w:fldChar w:fldCharType="end"/>
      </w:r>
      <w:r>
        <w:t xml:space="preserve">: </w:t>
      </w:r>
      <w:r w:rsidRPr="00500AC3">
        <w:rPr>
          <w:lang w:eastAsia="ja-JP"/>
        </w:rPr>
        <w:t>Proposed minimum values X</w:t>
      </w:r>
      <w:r>
        <w:rPr>
          <w:lang w:eastAsia="ja-JP"/>
        </w:rPr>
        <w:t xml:space="preserve"> (Alt-2)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26"/>
        <w:gridCol w:w="1925"/>
        <w:gridCol w:w="1926"/>
        <w:gridCol w:w="1901"/>
      </w:tblGrid>
      <w:tr w:rsidR="00235353" w:rsidRPr="00500AC3" w14:paraId="1FD7E54C" w14:textId="77777777" w:rsidTr="00235353">
        <w:trPr>
          <w:trHeight w:val="397"/>
        </w:trPr>
        <w:tc>
          <w:tcPr>
            <w:tcW w:w="1950" w:type="dxa"/>
            <w:tcBorders>
              <w:top w:val="single" w:sz="4" w:space="0" w:color="auto"/>
              <w:tl2br w:val="single" w:sz="4" w:space="0" w:color="auto"/>
            </w:tcBorders>
            <w:shd w:val="clear" w:color="auto" w:fill="auto"/>
            <w:vAlign w:val="center"/>
          </w:tcPr>
          <w:p w14:paraId="3F58E603" w14:textId="77777777" w:rsidR="00235353" w:rsidRPr="00500AC3" w:rsidRDefault="00235353" w:rsidP="00655BBB">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507CE15F" w14:textId="77777777" w:rsidR="00235353" w:rsidRPr="00500AC3" w:rsidRDefault="00235353" w:rsidP="00655BBB">
            <w:pPr>
              <w:pStyle w:val="BodyText"/>
              <w:spacing w:after="0"/>
              <w:rPr>
                <w:rFonts w:ascii="Arial" w:hAnsi="Arial" w:cs="Arial"/>
                <w:lang w:eastAsia="ja-JP"/>
              </w:rPr>
            </w:pPr>
            <w:r w:rsidRPr="00500AC3">
              <w:rPr>
                <w:rFonts w:ascii="Arial" w:hAnsi="Arial" w:cs="Arial"/>
                <w:sz w:val="18"/>
                <w:lang w:eastAsia="ja-JP"/>
              </w:rPr>
              <w:t>Scheduled CC</w:t>
            </w:r>
          </w:p>
        </w:tc>
        <w:tc>
          <w:tcPr>
            <w:tcW w:w="1926" w:type="dxa"/>
            <w:tcBorders>
              <w:top w:val="single" w:sz="4" w:space="0" w:color="auto"/>
            </w:tcBorders>
            <w:shd w:val="clear" w:color="auto" w:fill="auto"/>
            <w:vAlign w:val="center"/>
          </w:tcPr>
          <w:p w14:paraId="61DEE302" w14:textId="77777777" w:rsidR="00235353" w:rsidRPr="00500AC3" w:rsidRDefault="00235353" w:rsidP="00655BBB">
            <w:pPr>
              <w:pStyle w:val="BodyText"/>
              <w:spacing w:after="0"/>
              <w:jc w:val="center"/>
              <w:rPr>
                <w:rFonts w:ascii="Arial" w:hAnsi="Arial" w:cs="Arial"/>
                <w:lang w:eastAsia="ja-JP"/>
              </w:rPr>
            </w:pPr>
            <w:r w:rsidRPr="00500AC3">
              <w:rPr>
                <w:rFonts w:ascii="Arial" w:hAnsi="Arial" w:cs="Arial"/>
                <w:lang w:eastAsia="ja-JP"/>
              </w:rPr>
              <w:t>15 kHz</w:t>
            </w:r>
          </w:p>
        </w:tc>
        <w:tc>
          <w:tcPr>
            <w:tcW w:w="1925" w:type="dxa"/>
            <w:tcBorders>
              <w:top w:val="single" w:sz="4" w:space="0" w:color="auto"/>
              <w:bottom w:val="single" w:sz="4" w:space="0" w:color="auto"/>
            </w:tcBorders>
            <w:shd w:val="clear" w:color="auto" w:fill="auto"/>
            <w:vAlign w:val="center"/>
          </w:tcPr>
          <w:p w14:paraId="3EB7BA57" w14:textId="77777777" w:rsidR="00235353" w:rsidRPr="00500AC3" w:rsidRDefault="00235353" w:rsidP="00655BBB">
            <w:pPr>
              <w:pStyle w:val="BodyText"/>
              <w:spacing w:after="0"/>
              <w:jc w:val="center"/>
              <w:rPr>
                <w:rFonts w:ascii="Arial" w:hAnsi="Arial" w:cs="Arial"/>
                <w:lang w:eastAsia="ja-JP"/>
              </w:rPr>
            </w:pPr>
            <w:r w:rsidRPr="00500AC3">
              <w:rPr>
                <w:rFonts w:ascii="Arial" w:hAnsi="Arial" w:cs="Arial"/>
                <w:lang w:eastAsia="ja-JP"/>
              </w:rPr>
              <w:t>30 kHz</w:t>
            </w:r>
          </w:p>
        </w:tc>
        <w:tc>
          <w:tcPr>
            <w:tcW w:w="1926" w:type="dxa"/>
            <w:tcBorders>
              <w:top w:val="single" w:sz="4" w:space="0" w:color="auto"/>
              <w:bottom w:val="single" w:sz="4" w:space="0" w:color="auto"/>
            </w:tcBorders>
            <w:shd w:val="clear" w:color="auto" w:fill="auto"/>
            <w:vAlign w:val="center"/>
          </w:tcPr>
          <w:p w14:paraId="297463B0" w14:textId="77777777" w:rsidR="00235353" w:rsidRPr="00500AC3" w:rsidRDefault="00235353" w:rsidP="00655BBB">
            <w:pPr>
              <w:pStyle w:val="BodyText"/>
              <w:spacing w:after="0"/>
              <w:jc w:val="center"/>
              <w:rPr>
                <w:rFonts w:ascii="Arial" w:hAnsi="Arial" w:cs="Arial"/>
                <w:lang w:eastAsia="ja-JP"/>
              </w:rPr>
            </w:pPr>
            <w:r w:rsidRPr="00500AC3">
              <w:rPr>
                <w:rFonts w:ascii="Arial" w:hAnsi="Arial" w:cs="Arial"/>
                <w:lang w:eastAsia="ja-JP"/>
              </w:rPr>
              <w:t>60 kHz</w:t>
            </w:r>
          </w:p>
        </w:tc>
        <w:tc>
          <w:tcPr>
            <w:tcW w:w="1901" w:type="dxa"/>
            <w:tcBorders>
              <w:top w:val="single" w:sz="4" w:space="0" w:color="auto"/>
              <w:bottom w:val="single" w:sz="4" w:space="0" w:color="auto"/>
            </w:tcBorders>
            <w:shd w:val="clear" w:color="auto" w:fill="auto"/>
            <w:vAlign w:val="center"/>
          </w:tcPr>
          <w:p w14:paraId="712126BC" w14:textId="77777777" w:rsidR="00235353" w:rsidRPr="00500AC3" w:rsidRDefault="00235353" w:rsidP="00655BBB">
            <w:pPr>
              <w:pStyle w:val="BodyText"/>
              <w:spacing w:after="0"/>
              <w:jc w:val="center"/>
              <w:rPr>
                <w:rFonts w:ascii="Arial" w:hAnsi="Arial" w:cs="Arial"/>
                <w:lang w:eastAsia="ja-JP"/>
              </w:rPr>
            </w:pPr>
            <w:r w:rsidRPr="00500AC3">
              <w:rPr>
                <w:rFonts w:ascii="Arial" w:hAnsi="Arial" w:cs="Arial"/>
                <w:lang w:eastAsia="ja-JP"/>
              </w:rPr>
              <w:t>120 kHz</w:t>
            </w:r>
          </w:p>
        </w:tc>
      </w:tr>
      <w:tr w:rsidR="00235353" w:rsidRPr="00500AC3" w14:paraId="58022A09" w14:textId="77777777" w:rsidTr="00235353">
        <w:trPr>
          <w:trHeight w:val="170"/>
        </w:trPr>
        <w:tc>
          <w:tcPr>
            <w:tcW w:w="1950" w:type="dxa"/>
            <w:shd w:val="clear" w:color="auto" w:fill="auto"/>
            <w:vAlign w:val="center"/>
          </w:tcPr>
          <w:p w14:paraId="388456C6" w14:textId="77777777" w:rsidR="00235353" w:rsidRPr="00500AC3" w:rsidRDefault="00235353" w:rsidP="00655BBB">
            <w:pPr>
              <w:pStyle w:val="BodyText"/>
              <w:spacing w:after="0"/>
              <w:jc w:val="center"/>
              <w:rPr>
                <w:rFonts w:ascii="Arial" w:hAnsi="Arial" w:cs="Arial"/>
                <w:lang w:eastAsia="ja-JP"/>
              </w:rPr>
            </w:pPr>
            <w:r w:rsidRPr="00500AC3">
              <w:rPr>
                <w:rFonts w:ascii="Arial" w:hAnsi="Arial" w:cs="Arial"/>
                <w:lang w:eastAsia="ja-JP"/>
              </w:rPr>
              <w:t>15 kHz</w:t>
            </w:r>
          </w:p>
        </w:tc>
        <w:tc>
          <w:tcPr>
            <w:tcW w:w="1926" w:type="dxa"/>
            <w:shd w:val="clear" w:color="auto" w:fill="auto"/>
            <w:vAlign w:val="center"/>
          </w:tcPr>
          <w:p w14:paraId="4801AC51" w14:textId="77777777" w:rsidR="00235353" w:rsidRPr="00500AC3" w:rsidRDefault="00235353" w:rsidP="00655BBB">
            <w:pPr>
              <w:pStyle w:val="BodyText"/>
              <w:spacing w:after="0"/>
              <w:jc w:val="center"/>
              <w:rPr>
                <w:rFonts w:ascii="Arial" w:hAnsi="Arial" w:cs="Arial"/>
                <w:lang w:eastAsia="ja-JP"/>
              </w:rPr>
            </w:pPr>
            <w:r w:rsidRPr="00500AC3">
              <w:rPr>
                <w:rFonts w:ascii="Arial" w:hAnsi="Arial" w:cs="Arial"/>
                <w:lang w:eastAsia="ja-JP"/>
              </w:rPr>
              <w:t>0</w:t>
            </w:r>
          </w:p>
        </w:tc>
        <w:tc>
          <w:tcPr>
            <w:tcW w:w="1925" w:type="dxa"/>
            <w:tcBorders>
              <w:tl2br w:val="single" w:sz="4" w:space="0" w:color="auto"/>
            </w:tcBorders>
            <w:shd w:val="clear" w:color="auto" w:fill="auto"/>
            <w:vAlign w:val="center"/>
          </w:tcPr>
          <w:p w14:paraId="033C76B9" w14:textId="77777777" w:rsidR="00235353" w:rsidRPr="00500AC3" w:rsidRDefault="00235353" w:rsidP="00655BBB">
            <w:pPr>
              <w:pStyle w:val="BodyText"/>
              <w:spacing w:after="0"/>
              <w:jc w:val="center"/>
              <w:rPr>
                <w:rFonts w:ascii="Arial" w:hAnsi="Arial" w:cs="Arial"/>
                <w:lang w:eastAsia="ja-JP"/>
              </w:rPr>
            </w:pPr>
          </w:p>
        </w:tc>
        <w:tc>
          <w:tcPr>
            <w:tcW w:w="1926" w:type="dxa"/>
            <w:tcBorders>
              <w:tl2br w:val="single" w:sz="4" w:space="0" w:color="auto"/>
            </w:tcBorders>
            <w:shd w:val="clear" w:color="auto" w:fill="auto"/>
            <w:vAlign w:val="center"/>
          </w:tcPr>
          <w:p w14:paraId="41A33BC6" w14:textId="77777777" w:rsidR="00235353" w:rsidRPr="00500AC3" w:rsidRDefault="00235353" w:rsidP="00655BBB">
            <w:pPr>
              <w:pStyle w:val="BodyText"/>
              <w:spacing w:after="0"/>
              <w:jc w:val="center"/>
              <w:rPr>
                <w:rFonts w:ascii="Arial" w:hAnsi="Arial" w:cs="Arial"/>
                <w:lang w:eastAsia="ja-JP"/>
              </w:rPr>
            </w:pPr>
          </w:p>
        </w:tc>
        <w:tc>
          <w:tcPr>
            <w:tcW w:w="1901" w:type="dxa"/>
            <w:tcBorders>
              <w:tl2br w:val="single" w:sz="4" w:space="0" w:color="auto"/>
            </w:tcBorders>
            <w:shd w:val="clear" w:color="auto" w:fill="auto"/>
            <w:vAlign w:val="center"/>
          </w:tcPr>
          <w:p w14:paraId="2E38E6FC" w14:textId="77777777" w:rsidR="00235353" w:rsidRPr="00500AC3" w:rsidRDefault="00235353" w:rsidP="00655BBB">
            <w:pPr>
              <w:pStyle w:val="BodyText"/>
              <w:spacing w:after="0"/>
              <w:jc w:val="center"/>
              <w:rPr>
                <w:rFonts w:ascii="Arial" w:hAnsi="Arial" w:cs="Arial"/>
                <w:lang w:eastAsia="ja-JP"/>
              </w:rPr>
            </w:pPr>
          </w:p>
        </w:tc>
      </w:tr>
      <w:tr w:rsidR="00235353" w:rsidRPr="00500AC3" w14:paraId="4E461201" w14:textId="77777777" w:rsidTr="00235353">
        <w:trPr>
          <w:trHeight w:val="170"/>
        </w:trPr>
        <w:tc>
          <w:tcPr>
            <w:tcW w:w="1950" w:type="dxa"/>
            <w:shd w:val="clear" w:color="auto" w:fill="auto"/>
            <w:vAlign w:val="center"/>
          </w:tcPr>
          <w:p w14:paraId="661388F6" w14:textId="77777777" w:rsidR="00235353" w:rsidRPr="00500AC3" w:rsidRDefault="00235353" w:rsidP="00655BBB">
            <w:pPr>
              <w:pStyle w:val="BodyText"/>
              <w:spacing w:after="0"/>
              <w:jc w:val="center"/>
              <w:rPr>
                <w:rFonts w:ascii="Arial" w:hAnsi="Arial" w:cs="Arial"/>
                <w:lang w:eastAsia="ja-JP"/>
              </w:rPr>
            </w:pPr>
            <w:r w:rsidRPr="00500AC3">
              <w:rPr>
                <w:rFonts w:ascii="Arial" w:hAnsi="Arial" w:cs="Arial"/>
                <w:lang w:eastAsia="ja-JP"/>
              </w:rPr>
              <w:t>30 kHz</w:t>
            </w:r>
          </w:p>
        </w:tc>
        <w:tc>
          <w:tcPr>
            <w:tcW w:w="1926" w:type="dxa"/>
            <w:shd w:val="clear" w:color="auto" w:fill="auto"/>
            <w:vAlign w:val="center"/>
          </w:tcPr>
          <w:p w14:paraId="167A4293" w14:textId="25B62C64" w:rsidR="00235353" w:rsidRPr="00500AC3" w:rsidRDefault="00235353" w:rsidP="00655BBB">
            <w:pPr>
              <w:pStyle w:val="BodyText"/>
              <w:spacing w:after="0"/>
              <w:jc w:val="center"/>
              <w:rPr>
                <w:rFonts w:ascii="Arial" w:hAnsi="Arial" w:cs="Arial"/>
                <w:lang w:eastAsia="ja-JP"/>
              </w:rPr>
            </w:pPr>
            <w:r>
              <w:rPr>
                <w:rFonts w:ascii="Arial" w:hAnsi="Arial" w:cs="Arial"/>
                <w:lang w:eastAsia="ja-JP"/>
              </w:rPr>
              <w:t xml:space="preserve">1 </w:t>
            </w:r>
          </w:p>
        </w:tc>
        <w:tc>
          <w:tcPr>
            <w:tcW w:w="1925" w:type="dxa"/>
            <w:shd w:val="clear" w:color="auto" w:fill="auto"/>
            <w:vAlign w:val="center"/>
          </w:tcPr>
          <w:p w14:paraId="6B58C8E2" w14:textId="77777777" w:rsidR="00235353" w:rsidRPr="00500AC3" w:rsidRDefault="00235353" w:rsidP="00655BBB">
            <w:pPr>
              <w:pStyle w:val="BodyText"/>
              <w:spacing w:after="0"/>
              <w:jc w:val="center"/>
              <w:rPr>
                <w:rFonts w:ascii="Arial" w:hAnsi="Arial" w:cs="Arial"/>
                <w:lang w:eastAsia="ja-JP"/>
              </w:rPr>
            </w:pPr>
            <w:r w:rsidRPr="00500AC3">
              <w:rPr>
                <w:rFonts w:ascii="Arial" w:hAnsi="Arial" w:cs="Arial"/>
                <w:lang w:eastAsia="ja-JP"/>
              </w:rPr>
              <w:t>0</w:t>
            </w:r>
          </w:p>
        </w:tc>
        <w:tc>
          <w:tcPr>
            <w:tcW w:w="1926" w:type="dxa"/>
            <w:tcBorders>
              <w:tl2br w:val="single" w:sz="4" w:space="0" w:color="auto"/>
            </w:tcBorders>
            <w:shd w:val="clear" w:color="auto" w:fill="auto"/>
            <w:vAlign w:val="center"/>
          </w:tcPr>
          <w:p w14:paraId="481F6AE1" w14:textId="77777777" w:rsidR="00235353" w:rsidRPr="00500AC3" w:rsidRDefault="00235353" w:rsidP="00655BBB">
            <w:pPr>
              <w:pStyle w:val="BodyText"/>
              <w:spacing w:after="0"/>
              <w:jc w:val="center"/>
              <w:rPr>
                <w:rFonts w:ascii="Arial" w:hAnsi="Arial" w:cs="Arial"/>
                <w:lang w:eastAsia="ja-JP"/>
              </w:rPr>
            </w:pPr>
          </w:p>
        </w:tc>
        <w:tc>
          <w:tcPr>
            <w:tcW w:w="1901" w:type="dxa"/>
            <w:tcBorders>
              <w:bottom w:val="single" w:sz="4" w:space="0" w:color="auto"/>
              <w:tl2br w:val="single" w:sz="4" w:space="0" w:color="auto"/>
            </w:tcBorders>
            <w:shd w:val="clear" w:color="auto" w:fill="auto"/>
            <w:vAlign w:val="center"/>
          </w:tcPr>
          <w:p w14:paraId="78541F6A" w14:textId="77777777" w:rsidR="00235353" w:rsidRPr="00500AC3" w:rsidRDefault="00235353" w:rsidP="00655BBB">
            <w:pPr>
              <w:pStyle w:val="BodyText"/>
              <w:spacing w:after="0"/>
              <w:jc w:val="center"/>
              <w:rPr>
                <w:rFonts w:ascii="Arial" w:hAnsi="Arial" w:cs="Arial"/>
                <w:lang w:eastAsia="ja-JP"/>
              </w:rPr>
            </w:pPr>
          </w:p>
        </w:tc>
      </w:tr>
      <w:tr w:rsidR="00235353" w:rsidRPr="00500AC3" w14:paraId="716C38B1" w14:textId="77777777" w:rsidTr="00235353">
        <w:trPr>
          <w:trHeight w:val="170"/>
        </w:trPr>
        <w:tc>
          <w:tcPr>
            <w:tcW w:w="1950" w:type="dxa"/>
            <w:shd w:val="clear" w:color="auto" w:fill="auto"/>
            <w:vAlign w:val="center"/>
          </w:tcPr>
          <w:p w14:paraId="712D8ACD" w14:textId="77777777" w:rsidR="00235353" w:rsidRPr="00500AC3" w:rsidRDefault="00235353" w:rsidP="00655BBB">
            <w:pPr>
              <w:pStyle w:val="BodyText"/>
              <w:spacing w:after="0"/>
              <w:jc w:val="center"/>
              <w:rPr>
                <w:rFonts w:ascii="Arial" w:hAnsi="Arial" w:cs="Arial"/>
                <w:lang w:eastAsia="ja-JP"/>
              </w:rPr>
            </w:pPr>
            <w:r w:rsidRPr="00500AC3">
              <w:rPr>
                <w:rFonts w:ascii="Arial" w:hAnsi="Arial" w:cs="Arial"/>
                <w:lang w:eastAsia="ja-JP"/>
              </w:rPr>
              <w:t>60 kHz</w:t>
            </w:r>
          </w:p>
        </w:tc>
        <w:tc>
          <w:tcPr>
            <w:tcW w:w="1926" w:type="dxa"/>
            <w:shd w:val="clear" w:color="auto" w:fill="auto"/>
            <w:vAlign w:val="center"/>
          </w:tcPr>
          <w:p w14:paraId="7B32BD86" w14:textId="7FD282D5" w:rsidR="00235353" w:rsidRPr="00500AC3" w:rsidRDefault="00235353" w:rsidP="00655BBB">
            <w:pPr>
              <w:pStyle w:val="BodyText"/>
              <w:spacing w:after="0"/>
              <w:jc w:val="center"/>
              <w:rPr>
                <w:rFonts w:ascii="Arial" w:hAnsi="Arial" w:cs="Arial"/>
                <w:lang w:eastAsia="ja-JP"/>
              </w:rPr>
            </w:pPr>
            <w:r>
              <w:rPr>
                <w:rFonts w:ascii="Arial" w:hAnsi="Arial" w:cs="Arial"/>
                <w:lang w:eastAsia="ja-JP"/>
              </w:rPr>
              <w:t xml:space="preserve">2 </w:t>
            </w:r>
          </w:p>
        </w:tc>
        <w:tc>
          <w:tcPr>
            <w:tcW w:w="1925" w:type="dxa"/>
            <w:shd w:val="clear" w:color="auto" w:fill="auto"/>
            <w:vAlign w:val="center"/>
          </w:tcPr>
          <w:p w14:paraId="649DC2FA" w14:textId="667F3A91" w:rsidR="00235353" w:rsidRPr="00500AC3" w:rsidRDefault="00235353" w:rsidP="00655BBB">
            <w:pPr>
              <w:pStyle w:val="BodyText"/>
              <w:spacing w:after="0"/>
              <w:jc w:val="center"/>
              <w:rPr>
                <w:rFonts w:ascii="Arial" w:hAnsi="Arial" w:cs="Arial"/>
                <w:lang w:eastAsia="ja-JP"/>
              </w:rPr>
            </w:pPr>
            <w:r>
              <w:rPr>
                <w:rFonts w:ascii="Arial" w:hAnsi="Arial" w:cs="Arial"/>
                <w:lang w:eastAsia="ja-JP"/>
              </w:rPr>
              <w:t xml:space="preserve">1 </w:t>
            </w:r>
          </w:p>
        </w:tc>
        <w:tc>
          <w:tcPr>
            <w:tcW w:w="1926" w:type="dxa"/>
            <w:shd w:val="clear" w:color="auto" w:fill="auto"/>
            <w:vAlign w:val="center"/>
          </w:tcPr>
          <w:p w14:paraId="134DD00F" w14:textId="77777777" w:rsidR="00235353" w:rsidRPr="00500AC3" w:rsidRDefault="00235353" w:rsidP="00655BBB">
            <w:pPr>
              <w:pStyle w:val="BodyText"/>
              <w:spacing w:after="0"/>
              <w:jc w:val="center"/>
              <w:rPr>
                <w:rFonts w:ascii="Arial" w:hAnsi="Arial" w:cs="Arial"/>
                <w:lang w:eastAsia="ja-JP"/>
              </w:rPr>
            </w:pPr>
            <w:r>
              <w:rPr>
                <w:rFonts w:ascii="Arial" w:hAnsi="Arial" w:cs="Arial"/>
                <w:lang w:eastAsia="ja-JP"/>
              </w:rPr>
              <w:t>0</w:t>
            </w:r>
          </w:p>
        </w:tc>
        <w:tc>
          <w:tcPr>
            <w:tcW w:w="1901" w:type="dxa"/>
            <w:tcBorders>
              <w:tl2br w:val="single" w:sz="4" w:space="0" w:color="auto"/>
            </w:tcBorders>
            <w:shd w:val="clear" w:color="auto" w:fill="auto"/>
            <w:vAlign w:val="center"/>
          </w:tcPr>
          <w:p w14:paraId="2B337DC2" w14:textId="77777777" w:rsidR="00235353" w:rsidRPr="00500AC3" w:rsidRDefault="00235353" w:rsidP="00655BBB">
            <w:pPr>
              <w:pStyle w:val="BodyText"/>
              <w:spacing w:after="0"/>
              <w:jc w:val="center"/>
              <w:rPr>
                <w:rFonts w:ascii="Arial" w:hAnsi="Arial" w:cs="Arial"/>
                <w:lang w:eastAsia="ja-JP"/>
              </w:rPr>
            </w:pPr>
          </w:p>
        </w:tc>
      </w:tr>
      <w:tr w:rsidR="00235353" w:rsidRPr="00500AC3" w14:paraId="7AD77226" w14:textId="77777777" w:rsidTr="00235353">
        <w:trPr>
          <w:trHeight w:val="170"/>
        </w:trPr>
        <w:tc>
          <w:tcPr>
            <w:tcW w:w="1950" w:type="dxa"/>
            <w:shd w:val="clear" w:color="auto" w:fill="auto"/>
            <w:vAlign w:val="center"/>
          </w:tcPr>
          <w:p w14:paraId="5FC7C780" w14:textId="77777777" w:rsidR="00235353" w:rsidRPr="00500AC3" w:rsidRDefault="00235353" w:rsidP="00655BBB">
            <w:pPr>
              <w:pStyle w:val="BodyText"/>
              <w:spacing w:after="0"/>
              <w:jc w:val="center"/>
              <w:rPr>
                <w:rFonts w:ascii="Arial" w:hAnsi="Arial" w:cs="Arial"/>
                <w:lang w:eastAsia="ja-JP"/>
              </w:rPr>
            </w:pPr>
            <w:r w:rsidRPr="00500AC3">
              <w:rPr>
                <w:rFonts w:ascii="Arial" w:hAnsi="Arial" w:cs="Arial"/>
                <w:lang w:eastAsia="ja-JP"/>
              </w:rPr>
              <w:t>120 kHz</w:t>
            </w:r>
          </w:p>
        </w:tc>
        <w:tc>
          <w:tcPr>
            <w:tcW w:w="1926" w:type="dxa"/>
            <w:shd w:val="clear" w:color="auto" w:fill="auto"/>
            <w:vAlign w:val="center"/>
          </w:tcPr>
          <w:p w14:paraId="0E3D543E" w14:textId="49F210E7" w:rsidR="00235353" w:rsidRPr="00500AC3" w:rsidRDefault="00235353" w:rsidP="00655BBB">
            <w:pPr>
              <w:pStyle w:val="BodyText"/>
              <w:spacing w:after="0"/>
              <w:jc w:val="center"/>
              <w:rPr>
                <w:rFonts w:ascii="Arial" w:hAnsi="Arial" w:cs="Arial"/>
                <w:lang w:eastAsia="ja-JP"/>
              </w:rPr>
            </w:pPr>
            <w:r>
              <w:rPr>
                <w:rFonts w:ascii="Arial" w:hAnsi="Arial" w:cs="Arial"/>
                <w:lang w:eastAsia="ja-JP"/>
              </w:rPr>
              <w:t xml:space="preserve">3 </w:t>
            </w:r>
          </w:p>
        </w:tc>
        <w:tc>
          <w:tcPr>
            <w:tcW w:w="1925" w:type="dxa"/>
            <w:shd w:val="clear" w:color="auto" w:fill="auto"/>
            <w:vAlign w:val="center"/>
          </w:tcPr>
          <w:p w14:paraId="61D580B9" w14:textId="39F6C5E9" w:rsidR="00235353" w:rsidRPr="00500AC3" w:rsidRDefault="00235353" w:rsidP="00655BBB">
            <w:pPr>
              <w:pStyle w:val="BodyText"/>
              <w:spacing w:after="0"/>
              <w:jc w:val="center"/>
              <w:rPr>
                <w:rFonts w:ascii="Arial" w:hAnsi="Arial" w:cs="Arial"/>
                <w:lang w:eastAsia="ja-JP"/>
              </w:rPr>
            </w:pPr>
            <w:r>
              <w:rPr>
                <w:rFonts w:ascii="Arial" w:hAnsi="Arial" w:cs="Arial"/>
                <w:lang w:eastAsia="ja-JP"/>
              </w:rPr>
              <w:t xml:space="preserve">2 </w:t>
            </w:r>
          </w:p>
        </w:tc>
        <w:tc>
          <w:tcPr>
            <w:tcW w:w="1926" w:type="dxa"/>
            <w:shd w:val="clear" w:color="auto" w:fill="auto"/>
            <w:vAlign w:val="center"/>
          </w:tcPr>
          <w:p w14:paraId="56B82DDF" w14:textId="4B135170" w:rsidR="00235353" w:rsidRPr="00500AC3" w:rsidRDefault="00235353" w:rsidP="00655BBB">
            <w:pPr>
              <w:pStyle w:val="BodyText"/>
              <w:spacing w:after="0"/>
              <w:jc w:val="center"/>
              <w:rPr>
                <w:rFonts w:ascii="Arial" w:hAnsi="Arial" w:cs="Arial"/>
                <w:lang w:eastAsia="ja-JP"/>
              </w:rPr>
            </w:pPr>
            <w:r>
              <w:rPr>
                <w:rFonts w:ascii="Arial" w:hAnsi="Arial" w:cs="Arial"/>
                <w:lang w:eastAsia="ja-JP"/>
              </w:rPr>
              <w:t xml:space="preserve">2 </w:t>
            </w:r>
          </w:p>
        </w:tc>
        <w:tc>
          <w:tcPr>
            <w:tcW w:w="1901" w:type="dxa"/>
            <w:shd w:val="clear" w:color="auto" w:fill="auto"/>
            <w:vAlign w:val="center"/>
          </w:tcPr>
          <w:p w14:paraId="72C496BB" w14:textId="77777777" w:rsidR="00235353" w:rsidRPr="00500AC3" w:rsidRDefault="00235353" w:rsidP="00655BBB">
            <w:pPr>
              <w:pStyle w:val="BodyText"/>
              <w:spacing w:after="0"/>
              <w:jc w:val="center"/>
              <w:rPr>
                <w:rFonts w:ascii="Arial" w:hAnsi="Arial" w:cs="Arial"/>
                <w:lang w:eastAsia="ja-JP"/>
              </w:rPr>
            </w:pPr>
            <w:r w:rsidRPr="00500AC3">
              <w:rPr>
                <w:rFonts w:ascii="Arial" w:hAnsi="Arial" w:cs="Arial"/>
                <w:lang w:eastAsia="ja-JP"/>
              </w:rPr>
              <w:t>0</w:t>
            </w:r>
          </w:p>
        </w:tc>
      </w:tr>
    </w:tbl>
    <w:p w14:paraId="1F1F8607" w14:textId="3F280EB4" w:rsidR="00235353" w:rsidRDefault="00235353" w:rsidP="00E909D9"/>
    <w:p w14:paraId="7EC8E122" w14:textId="49D8D37C" w:rsidR="00235353" w:rsidRDefault="00A424C2" w:rsidP="00E909D9">
      <w:r>
        <w:t xml:space="preserve">Details on cross-carrier scheduling for Case 1-2 and 2 </w:t>
      </w:r>
      <w:r w:rsidR="003D4E72">
        <w:t>PDCCH monitoring</w:t>
      </w:r>
      <w:r>
        <w:t xml:space="preserve"> can be further discussed.</w:t>
      </w:r>
    </w:p>
    <w:p w14:paraId="43E85B6D" w14:textId="77777777" w:rsidR="00D60243" w:rsidRDefault="00D60243" w:rsidP="00E909D9">
      <w:pPr>
        <w:rPr>
          <w:u w:val="single"/>
        </w:rPr>
      </w:pPr>
    </w:p>
    <w:p w14:paraId="2EB3612F" w14:textId="304D694B" w:rsidR="00324548" w:rsidRDefault="00D60243" w:rsidP="00E909D9">
      <w:r w:rsidRPr="00D60243">
        <w:rPr>
          <w:b/>
        </w:rPr>
        <w:t>Observation</w:t>
      </w:r>
      <w:r w:rsidR="00324548">
        <w:t xml:space="preserve">: </w:t>
      </w:r>
      <w:r>
        <w:t>Issue 1 should be easily addressable. Limitations of applicability, e.g., only to Case 1-1 scheduling could be considered to expedite the completion of specification of the feature</w:t>
      </w:r>
      <w:r w:rsidR="00324548">
        <w:t>.</w:t>
      </w:r>
    </w:p>
    <w:p w14:paraId="7FCED77E" w14:textId="77777777" w:rsidR="0080347D" w:rsidRDefault="0080347D" w:rsidP="00E909D9"/>
    <w:p w14:paraId="6374D484" w14:textId="7EB9A57C" w:rsidR="00DA41B0" w:rsidRDefault="00A66685" w:rsidP="00D60243">
      <w:pPr>
        <w:pStyle w:val="Heading2"/>
        <w:numPr>
          <w:ilvl w:val="1"/>
          <w:numId w:val="17"/>
        </w:numPr>
      </w:pPr>
      <w:r>
        <w:t>I</w:t>
      </w:r>
      <w:r w:rsidR="00D60243">
        <w:t>ssue 2</w:t>
      </w:r>
      <w:r>
        <w:t xml:space="preserve">: </w:t>
      </w:r>
      <w:r w:rsidR="008C7CF2" w:rsidRPr="008C7CF2">
        <w:t>CCE/BD limits &amp; overbooking handling</w:t>
      </w:r>
    </w:p>
    <w:p w14:paraId="19BC4148" w14:textId="1CADC6D7" w:rsidR="001B7139" w:rsidRDefault="00716A2C" w:rsidP="008C7CF2">
      <w:pPr>
        <w:rPr>
          <w:lang w:val="en-GB"/>
        </w:rPr>
      </w:pPr>
      <w:r>
        <w:rPr>
          <w:lang w:val="en-GB"/>
        </w:rPr>
        <w:t>There has been steady progress on this topic and the current status can be summarized as follows (based on feature lead summary</w:t>
      </w:r>
      <w:r w:rsidR="009F014A">
        <w:rPr>
          <w:lang w:val="en-GB"/>
        </w:rPr>
        <w:t xml:space="preserve"> </w:t>
      </w:r>
      <w:r w:rsidR="009F014A">
        <w:rPr>
          <w:lang w:val="en-GB"/>
        </w:rPr>
        <w:fldChar w:fldCharType="begin"/>
      </w:r>
      <w:r w:rsidR="009F014A">
        <w:rPr>
          <w:lang w:val="en-GB"/>
        </w:rPr>
        <w:instrText xml:space="preserve"> REF _Ref523573398 \r \h </w:instrText>
      </w:r>
      <w:r w:rsidR="009F014A">
        <w:rPr>
          <w:lang w:val="en-GB"/>
        </w:rPr>
      </w:r>
      <w:r w:rsidR="009F014A">
        <w:rPr>
          <w:lang w:val="en-GB"/>
        </w:rPr>
        <w:fldChar w:fldCharType="separate"/>
      </w:r>
      <w:r w:rsidR="009F014A">
        <w:rPr>
          <w:lang w:val="en-GB"/>
        </w:rPr>
        <w:t>[2]</w:t>
      </w:r>
      <w:r w:rsidR="009F014A">
        <w:rPr>
          <w:lang w:val="en-GB"/>
        </w:rPr>
        <w:fldChar w:fldCharType="end"/>
      </w:r>
      <w:r>
        <w:rPr>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2043"/>
        <w:gridCol w:w="2253"/>
        <w:gridCol w:w="1978"/>
        <w:gridCol w:w="1983"/>
      </w:tblGrid>
      <w:tr w:rsidR="00716A2C" w14:paraId="71CE0FCC" w14:textId="77777777" w:rsidTr="00EC53E6">
        <w:trPr>
          <w:cantSplit/>
        </w:trPr>
        <w:tc>
          <w:tcPr>
            <w:tcW w:w="712" w:type="pct"/>
            <w:vMerge w:val="restart"/>
            <w:tcBorders>
              <w:top w:val="single" w:sz="4" w:space="0" w:color="auto"/>
              <w:left w:val="single" w:sz="4" w:space="0" w:color="auto"/>
              <w:bottom w:val="single" w:sz="4" w:space="0" w:color="auto"/>
              <w:right w:val="single" w:sz="4" w:space="0" w:color="auto"/>
            </w:tcBorders>
            <w:shd w:val="clear" w:color="auto" w:fill="FBD4B4"/>
            <w:hideMark/>
          </w:tcPr>
          <w:p w14:paraId="39DD8DD0" w14:textId="77777777" w:rsidR="00716A2C" w:rsidRPr="00D60243" w:rsidRDefault="00716A2C">
            <w:pPr>
              <w:snapToGrid w:val="0"/>
              <w:spacing w:after="0"/>
              <w:rPr>
                <w:rFonts w:cs="Calibri"/>
                <w:b/>
                <w:lang w:eastAsia="ja-JP"/>
              </w:rPr>
            </w:pPr>
            <w:r w:rsidRPr="00D60243">
              <w:rPr>
                <w:rFonts w:cs="Calibri"/>
                <w:b/>
                <w:lang w:eastAsia="ja-JP"/>
              </w:rPr>
              <w:t>Relationship between 4, y and T</w:t>
            </w:r>
          </w:p>
        </w:tc>
        <w:tc>
          <w:tcPr>
            <w:tcW w:w="2231" w:type="pct"/>
            <w:gridSpan w:val="2"/>
            <w:tcBorders>
              <w:top w:val="single" w:sz="4" w:space="0" w:color="auto"/>
              <w:left w:val="single" w:sz="4" w:space="0" w:color="auto"/>
              <w:bottom w:val="single" w:sz="4" w:space="0" w:color="auto"/>
              <w:right w:val="single" w:sz="4" w:space="0" w:color="auto"/>
            </w:tcBorders>
            <w:shd w:val="clear" w:color="auto" w:fill="FBD4B4"/>
            <w:hideMark/>
          </w:tcPr>
          <w:p w14:paraId="039632B7" w14:textId="77777777" w:rsidR="00716A2C" w:rsidRPr="00D60243" w:rsidRDefault="00716A2C">
            <w:pPr>
              <w:snapToGrid w:val="0"/>
              <w:spacing w:after="0"/>
              <w:jc w:val="center"/>
              <w:rPr>
                <w:rFonts w:cs="Calibri"/>
                <w:b/>
                <w:lang w:eastAsia="ja-JP"/>
              </w:rPr>
            </w:pPr>
            <w:r w:rsidRPr="00D60243">
              <w:rPr>
                <w:rFonts w:cs="Calibri"/>
                <w:b/>
                <w:lang w:eastAsia="ja-JP"/>
              </w:rPr>
              <w:t>Self-scheduling</w:t>
            </w:r>
          </w:p>
        </w:tc>
        <w:tc>
          <w:tcPr>
            <w:tcW w:w="2057" w:type="pct"/>
            <w:gridSpan w:val="2"/>
            <w:tcBorders>
              <w:top w:val="single" w:sz="4" w:space="0" w:color="auto"/>
              <w:left w:val="single" w:sz="4" w:space="0" w:color="auto"/>
              <w:bottom w:val="single" w:sz="4" w:space="0" w:color="auto"/>
              <w:right w:val="single" w:sz="4" w:space="0" w:color="auto"/>
            </w:tcBorders>
            <w:shd w:val="clear" w:color="auto" w:fill="FBD4B4"/>
            <w:hideMark/>
          </w:tcPr>
          <w:p w14:paraId="34245B44" w14:textId="77777777" w:rsidR="00716A2C" w:rsidRPr="00D60243" w:rsidRDefault="00716A2C">
            <w:pPr>
              <w:snapToGrid w:val="0"/>
              <w:spacing w:after="0"/>
              <w:jc w:val="center"/>
              <w:rPr>
                <w:rFonts w:cs="Calibri"/>
                <w:b/>
                <w:lang w:eastAsia="ja-JP"/>
              </w:rPr>
            </w:pPr>
            <w:r w:rsidRPr="00D60243">
              <w:rPr>
                <w:rFonts w:cs="Calibri"/>
                <w:b/>
                <w:lang w:eastAsia="ja-JP"/>
              </w:rPr>
              <w:t>Cross-carrier scheduling</w:t>
            </w:r>
          </w:p>
        </w:tc>
      </w:tr>
      <w:tr w:rsidR="00716A2C" w14:paraId="4664C29C" w14:textId="77777777" w:rsidTr="00D6024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10BFC" w14:textId="77777777" w:rsidR="00716A2C" w:rsidRPr="00D60243" w:rsidRDefault="00716A2C">
            <w:pPr>
              <w:spacing w:after="0"/>
              <w:rPr>
                <w:rFonts w:cs="Calibri"/>
                <w:b/>
                <w:sz w:val="22"/>
                <w:szCs w:val="22"/>
                <w:lang w:eastAsia="ja-JP"/>
              </w:rPr>
            </w:pPr>
          </w:p>
        </w:tc>
        <w:tc>
          <w:tcPr>
            <w:tcW w:w="1061" w:type="pct"/>
            <w:tcBorders>
              <w:top w:val="single" w:sz="4" w:space="0" w:color="auto"/>
              <w:left w:val="single" w:sz="4" w:space="0" w:color="auto"/>
              <w:bottom w:val="single" w:sz="4" w:space="0" w:color="auto"/>
              <w:right w:val="single" w:sz="4" w:space="0" w:color="auto"/>
            </w:tcBorders>
            <w:shd w:val="clear" w:color="auto" w:fill="FBD4B4"/>
            <w:hideMark/>
          </w:tcPr>
          <w:p w14:paraId="1F75743A" w14:textId="77777777" w:rsidR="00716A2C" w:rsidRPr="00D60243" w:rsidRDefault="00716A2C">
            <w:pPr>
              <w:snapToGrid w:val="0"/>
              <w:spacing w:after="0"/>
              <w:rPr>
                <w:rFonts w:cs="Calibri"/>
                <w:b/>
                <w:lang w:eastAsia="ja-JP"/>
              </w:rPr>
            </w:pPr>
            <w:r w:rsidRPr="00D60243">
              <w:rPr>
                <w:rFonts w:cs="Calibri"/>
                <w:b/>
                <w:lang w:eastAsia="ja-JP"/>
              </w:rPr>
              <w:t>Same numerology</w:t>
            </w:r>
          </w:p>
        </w:tc>
        <w:tc>
          <w:tcPr>
            <w:tcW w:w="1170" w:type="pct"/>
            <w:tcBorders>
              <w:top w:val="single" w:sz="4" w:space="0" w:color="auto"/>
              <w:left w:val="single" w:sz="4" w:space="0" w:color="auto"/>
              <w:bottom w:val="single" w:sz="4" w:space="0" w:color="auto"/>
              <w:right w:val="single" w:sz="4" w:space="0" w:color="auto"/>
            </w:tcBorders>
            <w:shd w:val="clear" w:color="auto" w:fill="FBD4B4"/>
            <w:hideMark/>
          </w:tcPr>
          <w:p w14:paraId="77F898F4" w14:textId="77777777" w:rsidR="00716A2C" w:rsidRPr="00D60243" w:rsidRDefault="00716A2C">
            <w:pPr>
              <w:snapToGrid w:val="0"/>
              <w:spacing w:after="0"/>
              <w:rPr>
                <w:rFonts w:cs="Calibri"/>
                <w:b/>
                <w:lang w:eastAsia="ja-JP"/>
              </w:rPr>
            </w:pPr>
            <w:r w:rsidRPr="00D60243">
              <w:rPr>
                <w:rFonts w:cs="Calibri"/>
                <w:b/>
                <w:lang w:eastAsia="ja-JP"/>
              </w:rPr>
              <w:t>Mixed numerologies</w:t>
            </w:r>
          </w:p>
        </w:tc>
        <w:tc>
          <w:tcPr>
            <w:tcW w:w="1027" w:type="pct"/>
            <w:tcBorders>
              <w:top w:val="single" w:sz="4" w:space="0" w:color="auto"/>
              <w:left w:val="single" w:sz="4" w:space="0" w:color="auto"/>
              <w:bottom w:val="single" w:sz="4" w:space="0" w:color="auto"/>
              <w:right w:val="single" w:sz="4" w:space="0" w:color="auto"/>
            </w:tcBorders>
            <w:shd w:val="clear" w:color="auto" w:fill="FBD4B4"/>
            <w:hideMark/>
          </w:tcPr>
          <w:p w14:paraId="1710B836" w14:textId="77777777" w:rsidR="00716A2C" w:rsidRPr="00D60243" w:rsidRDefault="00716A2C">
            <w:pPr>
              <w:snapToGrid w:val="0"/>
              <w:spacing w:after="0"/>
              <w:rPr>
                <w:rFonts w:cs="Calibri"/>
                <w:b/>
                <w:lang w:eastAsia="ja-JP"/>
              </w:rPr>
            </w:pPr>
            <w:r w:rsidRPr="00D60243">
              <w:rPr>
                <w:rFonts w:cs="Calibri"/>
                <w:b/>
                <w:lang w:eastAsia="ja-JP"/>
              </w:rPr>
              <w:t>Same numerology</w:t>
            </w:r>
          </w:p>
        </w:tc>
        <w:tc>
          <w:tcPr>
            <w:tcW w:w="1030" w:type="pct"/>
            <w:tcBorders>
              <w:top w:val="single" w:sz="4" w:space="0" w:color="auto"/>
              <w:left w:val="single" w:sz="4" w:space="0" w:color="auto"/>
              <w:bottom w:val="single" w:sz="4" w:space="0" w:color="auto"/>
              <w:right w:val="single" w:sz="4" w:space="0" w:color="auto"/>
            </w:tcBorders>
            <w:shd w:val="clear" w:color="auto" w:fill="FBD4B4"/>
            <w:hideMark/>
          </w:tcPr>
          <w:p w14:paraId="7777B4EC" w14:textId="77777777" w:rsidR="00716A2C" w:rsidRPr="00D60243" w:rsidRDefault="00716A2C">
            <w:pPr>
              <w:snapToGrid w:val="0"/>
              <w:spacing w:after="0"/>
              <w:rPr>
                <w:rFonts w:cs="Calibri"/>
                <w:b/>
                <w:lang w:eastAsia="ja-JP"/>
              </w:rPr>
            </w:pPr>
            <w:r w:rsidRPr="00D60243">
              <w:rPr>
                <w:rFonts w:cs="Calibri"/>
                <w:b/>
                <w:lang w:eastAsia="ja-JP"/>
              </w:rPr>
              <w:t>Mixed numerologies</w:t>
            </w:r>
          </w:p>
        </w:tc>
      </w:tr>
      <w:tr w:rsidR="00716A2C" w14:paraId="439A3A67" w14:textId="77777777" w:rsidTr="00D60243">
        <w:trPr>
          <w:cantSplit/>
        </w:trPr>
        <w:tc>
          <w:tcPr>
            <w:tcW w:w="712" w:type="pct"/>
            <w:tcBorders>
              <w:top w:val="single" w:sz="4" w:space="0" w:color="auto"/>
              <w:left w:val="single" w:sz="4" w:space="0" w:color="auto"/>
              <w:bottom w:val="single" w:sz="4" w:space="0" w:color="auto"/>
              <w:right w:val="single" w:sz="4" w:space="0" w:color="auto"/>
            </w:tcBorders>
            <w:hideMark/>
          </w:tcPr>
          <w:p w14:paraId="228AC4B3" w14:textId="77777777" w:rsidR="00716A2C" w:rsidRDefault="00716A2C">
            <w:pPr>
              <w:snapToGrid w:val="0"/>
              <w:spacing w:after="0"/>
              <w:rPr>
                <w:rFonts w:cs="Calibri"/>
                <w:lang w:eastAsia="ja-JP"/>
              </w:rPr>
            </w:pPr>
            <w:r>
              <w:rPr>
                <w:rFonts w:cs="Calibri"/>
                <w:lang w:eastAsia="ja-JP"/>
              </w:rPr>
              <w:t>T=&lt;4 or 4&lt;T=&lt;y</w:t>
            </w:r>
          </w:p>
        </w:tc>
        <w:tc>
          <w:tcPr>
            <w:tcW w:w="2231" w:type="pct"/>
            <w:gridSpan w:val="2"/>
            <w:tcBorders>
              <w:top w:val="single" w:sz="4" w:space="0" w:color="auto"/>
              <w:left w:val="single" w:sz="4" w:space="0" w:color="auto"/>
              <w:bottom w:val="single" w:sz="4" w:space="0" w:color="auto"/>
              <w:right w:val="single" w:sz="4" w:space="0" w:color="auto"/>
            </w:tcBorders>
            <w:hideMark/>
          </w:tcPr>
          <w:p w14:paraId="40A8BB54" w14:textId="77777777" w:rsidR="00716A2C" w:rsidRPr="00D60243" w:rsidRDefault="00716A2C">
            <w:pPr>
              <w:snapToGrid w:val="0"/>
              <w:spacing w:after="0"/>
              <w:jc w:val="center"/>
              <w:rPr>
                <w:rFonts w:cs="Calibri"/>
                <w:b/>
                <w:lang w:eastAsia="ja-JP"/>
              </w:rPr>
            </w:pPr>
            <w:r w:rsidRPr="00D60243">
              <w:rPr>
                <w:rFonts w:cs="Calibri"/>
                <w:b/>
                <w:lang w:eastAsia="ja-JP"/>
              </w:rPr>
              <w:t>Case 1</w:t>
            </w:r>
          </w:p>
          <w:p w14:paraId="2427571D" w14:textId="77777777" w:rsidR="00716A2C" w:rsidRDefault="00716A2C">
            <w:pPr>
              <w:snapToGrid w:val="0"/>
              <w:spacing w:after="0"/>
              <w:rPr>
                <w:rFonts w:cs="Calibri"/>
                <w:lang w:eastAsia="ja-JP"/>
              </w:rPr>
            </w:pPr>
            <w:r w:rsidRPr="00D60243">
              <w:rPr>
                <w:rFonts w:cs="Calibri"/>
                <w:sz w:val="18"/>
                <w:lang w:eastAsia="ja-JP"/>
              </w:rPr>
              <w:t>The limit per CC per slot equal to the limit for non-CA case</w:t>
            </w:r>
          </w:p>
        </w:tc>
        <w:tc>
          <w:tcPr>
            <w:tcW w:w="1027" w:type="pct"/>
            <w:tcBorders>
              <w:top w:val="single" w:sz="4" w:space="0" w:color="auto"/>
              <w:left w:val="single" w:sz="4" w:space="0" w:color="auto"/>
              <w:bottom w:val="single" w:sz="4" w:space="0" w:color="auto"/>
              <w:right w:val="single" w:sz="4" w:space="0" w:color="auto"/>
            </w:tcBorders>
            <w:hideMark/>
          </w:tcPr>
          <w:p w14:paraId="1445C5F6" w14:textId="77777777" w:rsidR="00716A2C" w:rsidRPr="00D60243" w:rsidRDefault="00716A2C">
            <w:pPr>
              <w:snapToGrid w:val="0"/>
              <w:spacing w:after="0"/>
              <w:jc w:val="center"/>
              <w:rPr>
                <w:rFonts w:cs="Calibri"/>
                <w:b/>
                <w:lang w:eastAsia="ja-JP"/>
              </w:rPr>
            </w:pPr>
            <w:r w:rsidRPr="00D60243">
              <w:rPr>
                <w:rFonts w:cs="Calibri"/>
                <w:b/>
                <w:lang w:eastAsia="ja-JP"/>
              </w:rPr>
              <w:t>Case 4</w:t>
            </w:r>
          </w:p>
          <w:p w14:paraId="53C81A59" w14:textId="77777777" w:rsidR="00716A2C" w:rsidRDefault="00716A2C">
            <w:pPr>
              <w:snapToGrid w:val="0"/>
              <w:spacing w:after="0"/>
              <w:rPr>
                <w:rFonts w:cs="Calibri"/>
                <w:lang w:eastAsia="ja-JP"/>
              </w:rPr>
            </w:pPr>
            <w:r w:rsidRPr="00D60243">
              <w:rPr>
                <w:rFonts w:cs="Calibri"/>
                <w:sz w:val="18"/>
                <w:lang w:eastAsia="ja-JP"/>
              </w:rPr>
              <w:t>The limit of the scheduling CC per slot is (number of scheduled CCs)*limit for non-CA case</w:t>
            </w:r>
          </w:p>
        </w:tc>
        <w:tc>
          <w:tcPr>
            <w:tcW w:w="1030" w:type="pct"/>
            <w:tcBorders>
              <w:top w:val="single" w:sz="4" w:space="0" w:color="auto"/>
              <w:left w:val="single" w:sz="4" w:space="0" w:color="auto"/>
              <w:bottom w:val="single" w:sz="4" w:space="0" w:color="auto"/>
              <w:right w:val="single" w:sz="4" w:space="0" w:color="auto"/>
            </w:tcBorders>
            <w:hideMark/>
          </w:tcPr>
          <w:p w14:paraId="3EA7BA13" w14:textId="77777777" w:rsidR="00716A2C" w:rsidRPr="00D60243" w:rsidRDefault="00716A2C">
            <w:pPr>
              <w:snapToGrid w:val="0"/>
              <w:spacing w:after="0"/>
              <w:jc w:val="center"/>
              <w:rPr>
                <w:rFonts w:cs="Calibri"/>
                <w:b/>
                <w:color w:val="FF0000"/>
                <w:lang w:eastAsia="ja-JP"/>
              </w:rPr>
            </w:pPr>
            <w:r w:rsidRPr="00D60243">
              <w:rPr>
                <w:rFonts w:cs="Calibri"/>
                <w:b/>
                <w:color w:val="FF0000"/>
                <w:lang w:eastAsia="ja-JP"/>
              </w:rPr>
              <w:t>Case 6</w:t>
            </w:r>
          </w:p>
        </w:tc>
      </w:tr>
      <w:tr w:rsidR="00716A2C" w14:paraId="4C115336" w14:textId="77777777" w:rsidTr="00D60243">
        <w:trPr>
          <w:cantSplit/>
        </w:trPr>
        <w:tc>
          <w:tcPr>
            <w:tcW w:w="712" w:type="pct"/>
            <w:tcBorders>
              <w:top w:val="single" w:sz="4" w:space="0" w:color="auto"/>
              <w:left w:val="single" w:sz="4" w:space="0" w:color="auto"/>
              <w:bottom w:val="single" w:sz="4" w:space="0" w:color="auto"/>
              <w:right w:val="single" w:sz="4" w:space="0" w:color="auto"/>
            </w:tcBorders>
            <w:hideMark/>
          </w:tcPr>
          <w:p w14:paraId="0EBF508C" w14:textId="77777777" w:rsidR="00716A2C" w:rsidRDefault="00716A2C">
            <w:pPr>
              <w:snapToGrid w:val="0"/>
              <w:spacing w:after="0"/>
              <w:rPr>
                <w:rFonts w:cs="Calibri"/>
                <w:lang w:eastAsia="ja-JP"/>
              </w:rPr>
            </w:pPr>
            <w:r>
              <w:rPr>
                <w:rFonts w:cs="Calibri"/>
                <w:lang w:eastAsia="ja-JP"/>
              </w:rPr>
              <w:t>T&gt;4 and T&gt;y</w:t>
            </w:r>
          </w:p>
        </w:tc>
        <w:tc>
          <w:tcPr>
            <w:tcW w:w="1061" w:type="pct"/>
            <w:tcBorders>
              <w:top w:val="single" w:sz="4" w:space="0" w:color="auto"/>
              <w:left w:val="single" w:sz="4" w:space="0" w:color="auto"/>
              <w:bottom w:val="single" w:sz="4" w:space="0" w:color="auto"/>
              <w:right w:val="single" w:sz="4" w:space="0" w:color="auto"/>
            </w:tcBorders>
            <w:hideMark/>
          </w:tcPr>
          <w:p w14:paraId="5C81B724" w14:textId="77777777" w:rsidR="00716A2C" w:rsidRPr="00D60243" w:rsidRDefault="00716A2C">
            <w:pPr>
              <w:snapToGrid w:val="0"/>
              <w:spacing w:after="0"/>
              <w:jc w:val="center"/>
              <w:rPr>
                <w:rFonts w:cs="Calibri"/>
                <w:b/>
                <w:lang w:eastAsia="ja-JP"/>
              </w:rPr>
            </w:pPr>
            <w:r w:rsidRPr="00D60243">
              <w:rPr>
                <w:rFonts w:cs="Calibri"/>
                <w:b/>
                <w:lang w:eastAsia="ja-JP"/>
              </w:rPr>
              <w:t>Case 2</w:t>
            </w:r>
          </w:p>
          <w:p w14:paraId="775BC754" w14:textId="77777777" w:rsidR="00716A2C" w:rsidRDefault="00716A2C">
            <w:pPr>
              <w:snapToGrid w:val="0"/>
              <w:spacing w:after="0"/>
              <w:rPr>
                <w:rFonts w:cs="Calibri"/>
                <w:lang w:eastAsia="ja-JP"/>
              </w:rPr>
            </w:pPr>
            <w:r w:rsidRPr="00D60243">
              <w:rPr>
                <w:rFonts w:cs="Calibri"/>
                <w:sz w:val="18"/>
                <w:lang w:eastAsia="ja-JP"/>
              </w:rPr>
              <w:t>The total limit across CCs is based on BD capability and can be split across CCs</w:t>
            </w:r>
          </w:p>
        </w:tc>
        <w:tc>
          <w:tcPr>
            <w:tcW w:w="1170" w:type="pct"/>
            <w:tcBorders>
              <w:top w:val="single" w:sz="4" w:space="0" w:color="auto"/>
              <w:left w:val="single" w:sz="4" w:space="0" w:color="auto"/>
              <w:bottom w:val="single" w:sz="4" w:space="0" w:color="auto"/>
              <w:right w:val="single" w:sz="4" w:space="0" w:color="auto"/>
            </w:tcBorders>
            <w:hideMark/>
          </w:tcPr>
          <w:p w14:paraId="16FAC6E5" w14:textId="77777777" w:rsidR="00716A2C" w:rsidRPr="00D60243" w:rsidRDefault="00716A2C">
            <w:pPr>
              <w:snapToGrid w:val="0"/>
              <w:spacing w:after="0"/>
              <w:jc w:val="center"/>
              <w:rPr>
                <w:rFonts w:cs="Calibri"/>
                <w:b/>
                <w:lang w:eastAsia="ja-JP"/>
              </w:rPr>
            </w:pPr>
            <w:r w:rsidRPr="00D60243">
              <w:rPr>
                <w:rFonts w:cs="Calibri"/>
                <w:b/>
                <w:lang w:eastAsia="ja-JP"/>
              </w:rPr>
              <w:t>Case 3</w:t>
            </w:r>
          </w:p>
          <w:p w14:paraId="2DAD0FE4" w14:textId="77777777" w:rsidR="00716A2C" w:rsidRPr="00D60243" w:rsidRDefault="00716A2C" w:rsidP="00D60243">
            <w:pPr>
              <w:snapToGrid w:val="0"/>
              <w:spacing w:after="0"/>
              <w:rPr>
                <w:rFonts w:cs="Calibri"/>
                <w:sz w:val="18"/>
                <w:lang w:eastAsia="ja-JP"/>
              </w:rPr>
            </w:pPr>
            <w:r w:rsidRPr="00D60243">
              <w:rPr>
                <w:rFonts w:cs="Calibri"/>
                <w:sz w:val="18"/>
                <w:lang w:eastAsia="ja-JP"/>
              </w:rPr>
              <w:t>The total limit across CCs per μ is based on BD capability.</w:t>
            </w:r>
          </w:p>
          <w:p w14:paraId="6347695B" w14:textId="77777777" w:rsidR="00716A2C" w:rsidRDefault="00716A2C" w:rsidP="00D60243">
            <w:pPr>
              <w:snapToGrid w:val="0"/>
              <w:spacing w:after="0"/>
              <w:ind w:hanging="1"/>
              <w:rPr>
                <w:rFonts w:cs="Calibri"/>
                <w:lang w:eastAsia="ja-JP"/>
              </w:rPr>
            </w:pPr>
            <w:r w:rsidRPr="00D60243">
              <w:rPr>
                <w:rFonts w:cs="Calibri"/>
                <w:sz w:val="18"/>
                <w:lang w:eastAsia="ja-JP"/>
              </w:rPr>
              <w:t>The limit per μ is y*M(μ) and proportion of the number of CCs with μ to the total number of CCs</w:t>
            </w:r>
            <w:r>
              <w:rPr>
                <w:rFonts w:cs="Calibri"/>
                <w:lang w:eastAsia="ja-JP"/>
              </w:rPr>
              <w:t>.</w:t>
            </w:r>
          </w:p>
        </w:tc>
        <w:tc>
          <w:tcPr>
            <w:tcW w:w="1027" w:type="pct"/>
            <w:tcBorders>
              <w:top w:val="single" w:sz="4" w:space="0" w:color="auto"/>
              <w:left w:val="single" w:sz="4" w:space="0" w:color="auto"/>
              <w:bottom w:val="single" w:sz="4" w:space="0" w:color="auto"/>
              <w:right w:val="single" w:sz="4" w:space="0" w:color="auto"/>
            </w:tcBorders>
            <w:hideMark/>
          </w:tcPr>
          <w:p w14:paraId="79A86CB6" w14:textId="77777777" w:rsidR="00716A2C" w:rsidRPr="00D60243" w:rsidRDefault="00716A2C">
            <w:pPr>
              <w:snapToGrid w:val="0"/>
              <w:spacing w:after="0"/>
              <w:jc w:val="center"/>
              <w:rPr>
                <w:rFonts w:cs="Calibri"/>
                <w:b/>
                <w:lang w:eastAsia="ja-JP"/>
              </w:rPr>
            </w:pPr>
            <w:r w:rsidRPr="00D60243">
              <w:rPr>
                <w:rFonts w:cs="Calibri"/>
                <w:b/>
                <w:lang w:eastAsia="ja-JP"/>
              </w:rPr>
              <w:t>Case 5</w:t>
            </w:r>
          </w:p>
          <w:p w14:paraId="03C09D5C" w14:textId="77777777" w:rsidR="00716A2C" w:rsidRPr="00D60243" w:rsidRDefault="00716A2C">
            <w:pPr>
              <w:snapToGrid w:val="0"/>
              <w:spacing w:after="0"/>
              <w:jc w:val="center"/>
              <w:rPr>
                <w:rFonts w:cs="Calibri"/>
                <w:color w:val="00B050"/>
                <w:sz w:val="18"/>
                <w:lang w:eastAsia="ja-JP"/>
              </w:rPr>
            </w:pPr>
            <w:r w:rsidRPr="00D60243">
              <w:rPr>
                <w:rFonts w:cs="Calibri"/>
                <w:color w:val="00B050"/>
                <w:sz w:val="18"/>
                <w:lang w:eastAsia="ja-JP"/>
              </w:rPr>
              <w:t>(Decided in RAN1 #94)</w:t>
            </w:r>
          </w:p>
          <w:p w14:paraId="45A1A57F" w14:textId="21BC127A" w:rsidR="00716A2C" w:rsidRDefault="006465A9">
            <w:pPr>
              <w:snapToGrid w:val="0"/>
              <w:spacing w:after="0"/>
              <w:jc w:val="center"/>
              <w:rPr>
                <w:rFonts w:cs="Calibri"/>
                <w:lang w:eastAsia="ja-JP"/>
              </w:rPr>
            </w:pPr>
            <w:r w:rsidRPr="00D60243">
              <w:rPr>
                <w:rFonts w:cs="Calibri"/>
                <w:color w:val="00B050"/>
                <w:sz w:val="18"/>
                <w:lang w:eastAsia="ja-JP"/>
              </w:rPr>
              <w:t>Same as Case 2</w:t>
            </w:r>
          </w:p>
        </w:tc>
        <w:tc>
          <w:tcPr>
            <w:tcW w:w="1030" w:type="pct"/>
            <w:tcBorders>
              <w:top w:val="single" w:sz="4" w:space="0" w:color="auto"/>
              <w:left w:val="single" w:sz="4" w:space="0" w:color="auto"/>
              <w:bottom w:val="single" w:sz="4" w:space="0" w:color="auto"/>
              <w:right w:val="single" w:sz="4" w:space="0" w:color="auto"/>
            </w:tcBorders>
            <w:hideMark/>
          </w:tcPr>
          <w:p w14:paraId="6556C004" w14:textId="77777777" w:rsidR="00716A2C" w:rsidRPr="00D60243" w:rsidRDefault="00716A2C">
            <w:pPr>
              <w:snapToGrid w:val="0"/>
              <w:spacing w:after="0"/>
              <w:jc w:val="center"/>
              <w:rPr>
                <w:rFonts w:cs="Calibri"/>
                <w:b/>
                <w:color w:val="FF0000"/>
                <w:lang w:eastAsia="ja-JP"/>
              </w:rPr>
            </w:pPr>
            <w:r w:rsidRPr="00D60243">
              <w:rPr>
                <w:rFonts w:cs="Calibri"/>
                <w:b/>
                <w:color w:val="FF0000"/>
                <w:lang w:eastAsia="ja-JP"/>
              </w:rPr>
              <w:t>Case 7</w:t>
            </w:r>
          </w:p>
        </w:tc>
      </w:tr>
    </w:tbl>
    <w:p w14:paraId="53B144FC" w14:textId="4FB21ED3" w:rsidR="00716A2C" w:rsidRDefault="00716A2C" w:rsidP="008C7CF2">
      <w:pPr>
        <w:rPr>
          <w:lang w:val="en-GB"/>
        </w:rPr>
      </w:pPr>
    </w:p>
    <w:p w14:paraId="7F55672E" w14:textId="619D9C4F" w:rsidR="00716A2C" w:rsidRDefault="00716A2C" w:rsidP="008C7CF2">
      <w:pPr>
        <w:rPr>
          <w:lang w:val="en-GB"/>
        </w:rPr>
      </w:pPr>
      <w:r>
        <w:rPr>
          <w:lang w:val="en-GB"/>
        </w:rPr>
        <w:t>In RAN1 #94, Case 5 has been decided with the following agreements:</w:t>
      </w:r>
    </w:p>
    <w:p w14:paraId="2FD34DC1" w14:textId="77777777" w:rsidR="00716A2C" w:rsidRDefault="00716A2C" w:rsidP="00716A2C">
      <w:r w:rsidRPr="00D60243">
        <w:rPr>
          <w:b/>
          <w:highlight w:val="green"/>
        </w:rPr>
        <w:t>Agreements</w:t>
      </w:r>
      <w:r>
        <w:t>:</w:t>
      </w:r>
    </w:p>
    <w:p w14:paraId="2B3FD51E" w14:textId="77777777" w:rsidR="00716A2C" w:rsidRDefault="00716A2C" w:rsidP="00716A2C">
      <w:pPr>
        <w:rPr>
          <w:lang w:eastAsia="ja-JP"/>
        </w:rPr>
      </w:pPr>
      <w:r>
        <w:rPr>
          <w:lang w:eastAsia="ja-JP"/>
        </w:rPr>
        <w:t>RAN1#93 agreements are updated as follows (to cover Case 5):</w:t>
      </w:r>
    </w:p>
    <w:p w14:paraId="4ADFAB47" w14:textId="77777777" w:rsidR="00716A2C" w:rsidRPr="009F5B04" w:rsidRDefault="00716A2C" w:rsidP="00BB4DC6">
      <w:pPr>
        <w:pStyle w:val="ListParagraph"/>
        <w:numPr>
          <w:ilvl w:val="1"/>
          <w:numId w:val="11"/>
        </w:numPr>
        <w:snapToGrid w:val="0"/>
        <w:spacing w:after="0"/>
        <w:rPr>
          <w:szCs w:val="20"/>
          <w:lang w:eastAsia="ja-JP"/>
        </w:rPr>
      </w:pPr>
      <w:r w:rsidRPr="009F5B04">
        <w:rPr>
          <w:rFonts w:hint="eastAsia"/>
          <w:szCs w:val="20"/>
          <w:lang w:eastAsia="ja-JP"/>
        </w:rPr>
        <w:t>F</w:t>
      </w:r>
      <w:r w:rsidRPr="009F5B04">
        <w:rPr>
          <w:szCs w:val="20"/>
          <w:lang w:eastAsia="ja-JP"/>
        </w:rPr>
        <w:t>or self-scheduling with same numerology</w:t>
      </w:r>
      <w:r>
        <w:rPr>
          <w:szCs w:val="20"/>
          <w:lang w:eastAsia="ja-JP"/>
        </w:rPr>
        <w:t xml:space="preserve"> </w:t>
      </w:r>
      <w:r w:rsidRPr="00892C29">
        <w:rPr>
          <w:color w:val="FF0000"/>
          <w:szCs w:val="20"/>
          <w:u w:val="single"/>
          <w:lang w:eastAsia="ja-JP"/>
        </w:rPr>
        <w:t>or for cross-carrier scheduling with the same numerology for all the DL serving cells</w:t>
      </w:r>
      <w:r w:rsidRPr="009F5B04">
        <w:rPr>
          <w:szCs w:val="20"/>
          <w:lang w:eastAsia="ja-JP"/>
        </w:rPr>
        <w:t>, and the number of DL-CCs is more than 4 and with up to T DL-CCs where the UE reports BD capability of y &lt; T, the limit of BDs/CCEs per CC per slot is</w:t>
      </w:r>
    </w:p>
    <w:p w14:paraId="5F193596" w14:textId="77777777" w:rsidR="00716A2C" w:rsidRDefault="00716A2C" w:rsidP="00BB4DC6">
      <w:pPr>
        <w:pStyle w:val="ListParagraph"/>
        <w:numPr>
          <w:ilvl w:val="2"/>
          <w:numId w:val="11"/>
        </w:numPr>
        <w:snapToGrid w:val="0"/>
        <w:spacing w:after="0"/>
        <w:rPr>
          <w:szCs w:val="20"/>
          <w:lang w:eastAsia="ja-JP"/>
        </w:rPr>
      </w:pPr>
      <w:r w:rsidRPr="009F5B04">
        <w:rPr>
          <w:szCs w:val="20"/>
          <w:lang w:eastAsia="ja-JP"/>
        </w:rPr>
        <w:t>The total number of BDs/CCEs across CCs is based on UE BD capability. It can be split across CCs, subject to the non-CA limit on each CC.</w:t>
      </w:r>
    </w:p>
    <w:p w14:paraId="51F28555" w14:textId="3B70527C" w:rsidR="00716A2C" w:rsidRPr="00716A2C" w:rsidRDefault="00716A2C" w:rsidP="00BB4DC6">
      <w:pPr>
        <w:pStyle w:val="ListParagraph"/>
        <w:numPr>
          <w:ilvl w:val="2"/>
          <w:numId w:val="11"/>
        </w:numPr>
        <w:snapToGrid w:val="0"/>
        <w:spacing w:after="0"/>
        <w:rPr>
          <w:szCs w:val="20"/>
          <w:lang w:eastAsia="ja-JP"/>
        </w:rPr>
      </w:pPr>
      <w:r w:rsidRPr="00716A2C">
        <w:rPr>
          <w:color w:val="FF0000"/>
          <w:szCs w:val="20"/>
          <w:u w:val="single"/>
          <w:lang w:eastAsia="ja-JP"/>
        </w:rPr>
        <w:lastRenderedPageBreak/>
        <w:t xml:space="preserve">For SCell, NW ensures no overbooking based on non-CA case occurs. </w:t>
      </w:r>
      <w:r w:rsidRPr="00716A2C">
        <w:rPr>
          <w:color w:val="FF0000"/>
          <w:u w:val="single"/>
          <w:lang w:eastAsia="ja-JP"/>
        </w:rPr>
        <w:t xml:space="preserve">For cross-carrier scheduling, </w:t>
      </w:r>
      <w:r w:rsidRPr="00716A2C">
        <w:rPr>
          <w:rFonts w:hint="eastAsia"/>
          <w:color w:val="FF0000"/>
          <w:u w:val="single"/>
          <w:lang w:eastAsia="ja-JP"/>
        </w:rPr>
        <w:t>B</w:t>
      </w:r>
      <w:r w:rsidRPr="00716A2C">
        <w:rPr>
          <w:color w:val="FF0000"/>
          <w:u w:val="single"/>
          <w:lang w:eastAsia="ja-JP"/>
        </w:rPr>
        <w:t>Ds/CCEs overlapped across DL serving cells are independently counted (i.e., counted per serving cell).</w:t>
      </w:r>
    </w:p>
    <w:p w14:paraId="5215B45C" w14:textId="2EB61210" w:rsidR="00D60243" w:rsidRDefault="00D60243" w:rsidP="008C7CF2">
      <w:pPr>
        <w:rPr>
          <w:lang w:val="en-GB"/>
        </w:rPr>
      </w:pPr>
      <w:r>
        <w:rPr>
          <w:lang w:val="en-GB"/>
        </w:rPr>
        <w:t>==</w:t>
      </w:r>
    </w:p>
    <w:p w14:paraId="7B194594" w14:textId="65102504" w:rsidR="008C7CF2" w:rsidRDefault="006465A9" w:rsidP="008C7CF2">
      <w:pPr>
        <w:rPr>
          <w:lang w:val="en-GB"/>
        </w:rPr>
      </w:pPr>
      <w:r>
        <w:rPr>
          <w:lang w:val="en-GB"/>
        </w:rPr>
        <w:t xml:space="preserve">The remaining open items are Case 6 and 7 for cross-carrier scheduling with </w:t>
      </w:r>
      <w:r w:rsidR="006B4EF1">
        <w:rPr>
          <w:lang w:val="en-GB"/>
        </w:rPr>
        <w:t>different</w:t>
      </w:r>
      <w:r>
        <w:rPr>
          <w:lang w:val="en-GB"/>
        </w:rPr>
        <w:t xml:space="preserve"> numerolog</w:t>
      </w:r>
      <w:r w:rsidR="006B4EF1">
        <w:rPr>
          <w:lang w:val="en-GB"/>
        </w:rPr>
        <w:t>ies</w:t>
      </w:r>
      <w:r>
        <w:rPr>
          <w:lang w:val="en-GB"/>
        </w:rPr>
        <w:t>. The framework to resolve these open items are in place, and companies have submitted proposals. Dis</w:t>
      </w:r>
      <w:r w:rsidR="00D60243">
        <w:rPr>
          <w:lang w:val="en-GB"/>
        </w:rPr>
        <w:t>cussions took place during RAN1</w:t>
      </w:r>
      <w:r>
        <w:rPr>
          <w:lang w:val="en-GB"/>
        </w:rPr>
        <w:t>#94 and the progress had been captured in the feature lead’s summary.</w:t>
      </w:r>
    </w:p>
    <w:p w14:paraId="749BD5F2" w14:textId="77777777" w:rsidR="006465A9" w:rsidRDefault="006465A9" w:rsidP="006465A9">
      <w:pPr>
        <w:rPr>
          <w:rFonts w:cs="Calibri"/>
          <w:b/>
          <w:u w:val="single"/>
          <w:lang w:eastAsia="ja-JP"/>
        </w:rPr>
      </w:pPr>
      <w:r>
        <w:rPr>
          <w:rFonts w:cs="Calibri"/>
          <w:b/>
          <w:u w:val="single"/>
          <w:lang w:eastAsia="ja-JP"/>
        </w:rPr>
        <w:t>Case 6: Cross-carrier scheduling with mixed numerologies, and the number of DL-CCs is up to 4 or with up to T DL-CCs where the UE reports BD capability of y &gt;= T</w:t>
      </w:r>
    </w:p>
    <w:p w14:paraId="196B8C3E" w14:textId="7A185426" w:rsidR="006465A9" w:rsidRDefault="006465A9" w:rsidP="006465A9">
      <w:pPr>
        <w:rPr>
          <w:b/>
          <w:u w:val="single"/>
          <w:lang w:eastAsia="ja-JP"/>
        </w:rPr>
      </w:pPr>
      <w:r>
        <w:rPr>
          <w:rFonts w:cs="Calibri"/>
          <w:noProof/>
          <w:lang w:val="en-GB" w:eastAsia="en-GB"/>
        </w:rPr>
        <w:drawing>
          <wp:inline distT="0" distB="0" distL="0" distR="0" wp14:anchorId="2C8E92A0" wp14:editId="277978B4">
            <wp:extent cx="5943600" cy="838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838200"/>
                    </a:xfrm>
                    <a:prstGeom prst="rect">
                      <a:avLst/>
                    </a:prstGeom>
                    <a:noFill/>
                    <a:ln>
                      <a:noFill/>
                    </a:ln>
                  </pic:spPr>
                </pic:pic>
              </a:graphicData>
            </a:graphic>
          </wp:inline>
        </w:drawing>
      </w:r>
    </w:p>
    <w:p w14:paraId="4DEFEC95" w14:textId="31BFE987" w:rsidR="006465A9" w:rsidRDefault="006465A9" w:rsidP="006465A9">
      <w:pPr>
        <w:rPr>
          <w:rFonts w:cs="Calibri"/>
          <w:lang w:eastAsia="ja-JP"/>
        </w:rPr>
      </w:pPr>
      <w:r>
        <w:rPr>
          <w:rFonts w:cs="Calibri"/>
          <w:lang w:eastAsia="ja-JP"/>
        </w:rPr>
        <w:t>The feature lead’s recommendation is to select the solution among the following two alternatives:</w:t>
      </w:r>
    </w:p>
    <w:p w14:paraId="45D13FA5" w14:textId="77777777" w:rsidR="006465A9" w:rsidRDefault="006465A9" w:rsidP="00BB4DC6">
      <w:pPr>
        <w:pStyle w:val="ListParagraph"/>
        <w:numPr>
          <w:ilvl w:val="0"/>
          <w:numId w:val="12"/>
        </w:numPr>
        <w:spacing w:after="200" w:line="276" w:lineRule="auto"/>
        <w:rPr>
          <w:lang w:eastAsia="ja-JP"/>
        </w:rPr>
      </w:pPr>
      <w:r>
        <w:rPr>
          <w:lang w:eastAsia="ja-JP"/>
        </w:rPr>
        <w:t>Alt.1: The limit of BDs/CCEs of the scheduling CC is determined based on the numerology of the scheduling CC.</w:t>
      </w:r>
    </w:p>
    <w:p w14:paraId="5B2D9AD6" w14:textId="6ECCE745" w:rsidR="006465A9" w:rsidRDefault="006465A9" w:rsidP="00BB4DC6">
      <w:pPr>
        <w:pStyle w:val="ListParagraph"/>
        <w:numPr>
          <w:ilvl w:val="0"/>
          <w:numId w:val="12"/>
        </w:numPr>
        <w:spacing w:after="200" w:line="276" w:lineRule="auto"/>
        <w:rPr>
          <w:lang w:eastAsia="ja-JP"/>
        </w:rPr>
      </w:pPr>
      <w:r>
        <w:rPr>
          <w:lang w:eastAsia="ja-JP"/>
        </w:rPr>
        <w:t>Alt.2: The limit of BDs/CCEs of the scheduling CC is determined based on the combinations of numerologies for {scheduling CC, scheduled CC}.</w:t>
      </w:r>
    </w:p>
    <w:p w14:paraId="184F9AD0" w14:textId="77777777" w:rsidR="00CD3094" w:rsidRDefault="00CD3094" w:rsidP="00CD3094">
      <w:pPr>
        <w:rPr>
          <w:rFonts w:cs="Calibri"/>
          <w:b/>
          <w:u w:val="single"/>
          <w:lang w:eastAsia="ja-JP"/>
        </w:rPr>
      </w:pPr>
      <w:r>
        <w:rPr>
          <w:rFonts w:cs="Calibri"/>
          <w:b/>
          <w:u w:val="single"/>
          <w:lang w:eastAsia="ja-JP"/>
        </w:rPr>
        <w:t>Case 7: Cross-carrier scheduling with mixed numerologies, and the number of DL-CCs is more than 4 and with up to T DL-CCs where the UE reports BD capability of y &lt; T</w:t>
      </w:r>
    </w:p>
    <w:p w14:paraId="02F52FE9" w14:textId="1E7AB8D0" w:rsidR="00CD3094" w:rsidRDefault="00CD3094" w:rsidP="008C7CF2">
      <w:pPr>
        <w:rPr>
          <w:rFonts w:cs="Calibri"/>
          <w:lang w:eastAsia="ja-JP"/>
        </w:rPr>
      </w:pPr>
      <w:r>
        <w:rPr>
          <w:rFonts w:cs="Calibri"/>
          <w:lang w:eastAsia="ja-JP"/>
        </w:rPr>
        <w:t xml:space="preserve">For Case 7, the feature lead’s recommendation is to extend the proposal for Case 5 in the same way as was done for Case 3. </w:t>
      </w:r>
    </w:p>
    <w:p w14:paraId="7A8938DF" w14:textId="3926F81A" w:rsidR="00D60243" w:rsidRDefault="00D60243" w:rsidP="008C7CF2">
      <w:pPr>
        <w:rPr>
          <w:lang w:val="en-GB"/>
        </w:rPr>
      </w:pPr>
      <w:r w:rsidRPr="00D60243">
        <w:rPr>
          <w:b/>
        </w:rPr>
        <w:t>Observation</w:t>
      </w:r>
      <w:r>
        <w:t xml:space="preserve">: </w:t>
      </w:r>
      <w:r>
        <w:t>Issue 2</w:t>
      </w:r>
      <w:r>
        <w:t xml:space="preserve"> should be addressable</w:t>
      </w:r>
      <w:r>
        <w:t xml:space="preserve"> with a bit more discussion</w:t>
      </w:r>
      <w:r w:rsidR="00512872">
        <w:t xml:space="preserve"> in RAN1</w:t>
      </w:r>
      <w:r>
        <w:t>.</w:t>
      </w:r>
    </w:p>
    <w:p w14:paraId="17052386" w14:textId="70128AF5" w:rsidR="008C7CF2" w:rsidRDefault="00512872" w:rsidP="00D60243">
      <w:pPr>
        <w:pStyle w:val="Heading2"/>
        <w:numPr>
          <w:ilvl w:val="0"/>
          <w:numId w:val="0"/>
        </w:numPr>
        <w:ind w:left="576" w:hanging="576"/>
      </w:pPr>
      <w:r>
        <w:t>2.3</w:t>
      </w:r>
      <w:r>
        <w:tab/>
        <w:t xml:space="preserve">Issue 3: </w:t>
      </w:r>
      <w:r w:rsidR="008C7CF2" w:rsidRPr="008C7CF2">
        <w:t xml:space="preserve">Number of valid </w:t>
      </w:r>
      <w:r>
        <w:t xml:space="preserve">scheduling </w:t>
      </w:r>
      <w:r w:rsidR="008C7CF2" w:rsidRPr="008C7CF2">
        <w:t>DCI capability</w:t>
      </w:r>
    </w:p>
    <w:p w14:paraId="7AC4604D" w14:textId="30D88218" w:rsidR="003E64F3" w:rsidRDefault="003E64F3" w:rsidP="005517E3">
      <w:r>
        <w:t xml:space="preserve">There has been some discussion in RAN1 on the maximum number of valid DCI that is supported by the UE. This limit should scale with the number of serving cells, defined with respect to </w:t>
      </w:r>
      <w:r w:rsidR="00091607">
        <w:t xml:space="preserve">a </w:t>
      </w:r>
      <w:r>
        <w:t>time unit related to scheduling granularity.</w:t>
      </w:r>
    </w:p>
    <w:p w14:paraId="515AF5FD" w14:textId="6A00D8AF" w:rsidR="00532A89" w:rsidRDefault="00532A89" w:rsidP="005517E3">
      <w:r>
        <w:t xml:space="preserve">For cross-carrier scheduling </w:t>
      </w:r>
      <w:r w:rsidR="005518DC">
        <w:t>with mixed numerology, in the worst case of a 15kHz SCS carrier scheduling a 120kHz SCS carrier, there can be up to 8 DL scheduling DCIs (to achieve continuous scheduling). If the number of carriers is 8 and the PCC is scheduling all 7 SCC</w:t>
      </w:r>
      <w:r w:rsidR="0001574B">
        <w:t xml:space="preserve"> and itself</w:t>
      </w:r>
      <w:r w:rsidR="005518DC">
        <w:t xml:space="preserve">, hypothetically 8 DCI * 8 = 64 DCIs have to be processed in a single slot for the scheduling carrier. </w:t>
      </w:r>
      <w:r w:rsidR="0001574B">
        <w:t>Whether this fits within the BD limit aside, it could be challenging for UE implementation to support this number of valid DCIs from a single scheduling carrier.</w:t>
      </w:r>
    </w:p>
    <w:p w14:paraId="3D85912F" w14:textId="0683B1C7" w:rsidR="0001574B" w:rsidRDefault="0001574B" w:rsidP="005517E3">
      <w:r>
        <w:t xml:space="preserve">A reasonable limit on the number of valid DCI for single carrier, and how this </w:t>
      </w:r>
      <w:r w:rsidR="00243EF4">
        <w:t xml:space="preserve">limit </w:t>
      </w:r>
      <w:r>
        <w:t xml:space="preserve">can </w:t>
      </w:r>
      <w:r w:rsidR="00243EF4">
        <w:t>change</w:t>
      </w:r>
      <w:r>
        <w:t xml:space="preserve"> with multiple carrier with same or different numerology can be discussed and agreed.</w:t>
      </w:r>
    </w:p>
    <w:p w14:paraId="5C1A9537" w14:textId="24BFE953" w:rsidR="002607D9" w:rsidRDefault="0001574B" w:rsidP="002607D9">
      <w:pPr>
        <w:pStyle w:val="Caption"/>
        <w:rPr>
          <w:b w:val="0"/>
        </w:rPr>
      </w:pPr>
      <w:r>
        <w:rPr>
          <w:b w:val="0"/>
        </w:rPr>
        <w:t>At least one company submitted contribution discussion this open item in RAN1 #94.</w:t>
      </w:r>
      <w:r w:rsidR="002607D9">
        <w:rPr>
          <w:b w:val="0"/>
        </w:rPr>
        <w:t xml:space="preserve"> For simplicity, max numbers for valid DCI with respect to the number of carriers and the numerologies can be defined in spec.</w:t>
      </w:r>
    </w:p>
    <w:p w14:paraId="7166EAB8" w14:textId="2BDE00EF" w:rsidR="0042513C" w:rsidRPr="0042513C" w:rsidRDefault="0042513C" w:rsidP="0042513C">
      <w:r>
        <w:t>Alternatively, constraints on the number of carriers that can be cross-scheduled by a single carrier, or a constraint on the maximum SCS disparity between the scheduling and the scheduled CC can be discussed and agreed.</w:t>
      </w:r>
    </w:p>
    <w:p w14:paraId="42997D12" w14:textId="31647C57" w:rsidR="00A77E10" w:rsidRPr="00512872" w:rsidRDefault="00512872" w:rsidP="00A77E10">
      <w:r>
        <w:rPr>
          <w:b/>
        </w:rPr>
        <w:t xml:space="preserve">Observation: </w:t>
      </w:r>
      <w:r>
        <w:t xml:space="preserve">RAN1 should agree on value to limit UE complexity. </w:t>
      </w:r>
      <w:bookmarkEnd w:id="6"/>
    </w:p>
    <w:p w14:paraId="0A338B42" w14:textId="77777777" w:rsidR="00A77E10" w:rsidRPr="00512872" w:rsidRDefault="00A77E10" w:rsidP="00D037B5"/>
    <w:p w14:paraId="16CFBAF1" w14:textId="124D1E57" w:rsidR="00E4038C" w:rsidRDefault="00E4038C" w:rsidP="00512872">
      <w:pPr>
        <w:pStyle w:val="Heading1"/>
        <w:numPr>
          <w:ilvl w:val="0"/>
          <w:numId w:val="17"/>
        </w:numPr>
        <w:rPr>
          <w:lang w:eastAsia="zh-CN"/>
        </w:rPr>
      </w:pPr>
      <w:r w:rsidRPr="00C227E3">
        <w:t>Conclusion</w:t>
      </w:r>
    </w:p>
    <w:p w14:paraId="06757677" w14:textId="7702EA32" w:rsidR="0008287D" w:rsidRPr="00906752" w:rsidRDefault="00512872" w:rsidP="00512872">
      <w:pPr>
        <w:pStyle w:val="Caption"/>
      </w:pPr>
      <w:r>
        <w:rPr>
          <w:b w:val="0"/>
        </w:rPr>
        <w:t xml:space="preserve">Based on the analysis presented in this contribution, we suggest attempting the completion of the specification of this feature in Rel-15 as a (late) correction. As an incentive to interested companies to achieve consensus on the remaining open issues, RAN could agree that the feature would be removed from Rel-15 unless it is completed in Q4-18. </w:t>
      </w:r>
    </w:p>
    <w:p w14:paraId="100E5DD8" w14:textId="672E4061" w:rsidR="00387D4C" w:rsidRDefault="00512872" w:rsidP="00512872">
      <w:pPr>
        <w:pStyle w:val="Heading1"/>
        <w:numPr>
          <w:ilvl w:val="0"/>
          <w:numId w:val="0"/>
        </w:numPr>
        <w:ind w:left="432" w:hanging="432"/>
      </w:pPr>
      <w:r>
        <w:lastRenderedPageBreak/>
        <w:t>R</w:t>
      </w:r>
      <w:r w:rsidR="00387D4C">
        <w:t>eferences</w:t>
      </w:r>
    </w:p>
    <w:p w14:paraId="0614924F" w14:textId="03C9332C" w:rsidR="00A152F1" w:rsidRDefault="009F014A" w:rsidP="00BB4DC6">
      <w:pPr>
        <w:numPr>
          <w:ilvl w:val="0"/>
          <w:numId w:val="7"/>
        </w:numPr>
        <w:textAlignment w:val="auto"/>
      </w:pPr>
      <w:bookmarkStart w:id="7" w:name="_Ref513827037"/>
      <w:bookmarkStart w:id="8" w:name="_Ref523573305"/>
      <w:r>
        <w:rPr>
          <w:lang w:val="en-GB"/>
        </w:rPr>
        <w:t>R1-1809894</w:t>
      </w:r>
      <w:r w:rsidR="000A1FC0">
        <w:t>,</w:t>
      </w:r>
      <w:r w:rsidR="000A1FC0" w:rsidRPr="000A1FC0">
        <w:t xml:space="preserve"> </w:t>
      </w:r>
      <w:r w:rsidR="000A1FC0">
        <w:t>“</w:t>
      </w:r>
      <w:r w:rsidRPr="001F5696">
        <w:t>Summary for DL/UL data scheduling maintenance</w:t>
      </w:r>
      <w:r w:rsidR="000A1FC0">
        <w:t>”, RAN1 #9</w:t>
      </w:r>
      <w:r>
        <w:t>4</w:t>
      </w:r>
      <w:r w:rsidR="000A1FC0">
        <w:t>,</w:t>
      </w:r>
      <w:r w:rsidR="000A1FC0" w:rsidRPr="000A1FC0">
        <w:t xml:space="preserve"> </w:t>
      </w:r>
      <w:bookmarkEnd w:id="7"/>
      <w:r>
        <w:t>Qualcomm</w:t>
      </w:r>
      <w:bookmarkEnd w:id="8"/>
    </w:p>
    <w:p w14:paraId="58BCC75F" w14:textId="17BED47C" w:rsidR="009F014A" w:rsidRPr="00EC53E6" w:rsidRDefault="009F014A" w:rsidP="00BB4DC6">
      <w:pPr>
        <w:numPr>
          <w:ilvl w:val="0"/>
          <w:numId w:val="7"/>
        </w:numPr>
        <w:textAlignment w:val="auto"/>
      </w:pPr>
      <w:bookmarkStart w:id="9" w:name="_Ref523573398"/>
      <w:r>
        <w:rPr>
          <w:lang w:val="en-GB"/>
        </w:rPr>
        <w:t>R1-1809855, “</w:t>
      </w:r>
      <w:r w:rsidRPr="009F014A">
        <w:rPr>
          <w:lang w:val="en-GB"/>
        </w:rPr>
        <w:t>Offline summary for PDCCH structure and search space</w:t>
      </w:r>
      <w:r>
        <w:rPr>
          <w:lang w:val="en-GB"/>
        </w:rPr>
        <w:t>”, RAN1 #94, NTT Docomo</w:t>
      </w:r>
      <w:bookmarkEnd w:id="9"/>
    </w:p>
    <w:p w14:paraId="0EEA4A6E" w14:textId="634E6821" w:rsidR="00074D74" w:rsidRDefault="00074D74" w:rsidP="00074D74">
      <w:pPr>
        <w:numPr>
          <w:ilvl w:val="0"/>
          <w:numId w:val="7"/>
        </w:numPr>
        <w:textAlignment w:val="auto"/>
      </w:pPr>
      <w:bookmarkStart w:id="10" w:name="_Ref523741045"/>
      <w:r w:rsidRPr="00074D74">
        <w:t>R1-1810009</w:t>
      </w:r>
      <w:r>
        <w:t>, “</w:t>
      </w:r>
      <w:r w:rsidRPr="00074D74">
        <w:t>LS on cross-carrier scheduling</w:t>
      </w:r>
      <w:r>
        <w:t>”, RAN1 #94, NTT Docomo.</w:t>
      </w:r>
      <w:bookmarkEnd w:id="10"/>
    </w:p>
    <w:p w14:paraId="51FD9CF8" w14:textId="097BADEA" w:rsidR="0008287D" w:rsidRDefault="0008287D" w:rsidP="0008287D">
      <w:pPr>
        <w:textAlignment w:val="auto"/>
      </w:pPr>
    </w:p>
    <w:p w14:paraId="68CB98FC" w14:textId="30A7D5F6" w:rsidR="0008287D" w:rsidRDefault="0008287D" w:rsidP="0008287D">
      <w:pPr>
        <w:pStyle w:val="Heading1"/>
        <w:numPr>
          <w:ilvl w:val="0"/>
          <w:numId w:val="0"/>
        </w:numPr>
        <w:ind w:left="432" w:hanging="432"/>
      </w:pPr>
      <w:r>
        <w:t>A. Annex</w:t>
      </w:r>
    </w:p>
    <w:p w14:paraId="17870A88" w14:textId="57DC0693" w:rsidR="0008287D" w:rsidRPr="00CE1698" w:rsidRDefault="0008287D" w:rsidP="0008287D">
      <w:pPr>
        <w:pStyle w:val="Heading2"/>
        <w:numPr>
          <w:ilvl w:val="0"/>
          <w:numId w:val="0"/>
        </w:numPr>
        <w:ind w:left="576" w:hanging="576"/>
      </w:pPr>
      <w:r>
        <w:t xml:space="preserve">A.1 </w:t>
      </w:r>
      <w:r w:rsidR="00512872">
        <w:t>I</w:t>
      </w:r>
      <w:r>
        <w:t>ssue 1</w:t>
      </w:r>
      <w:r w:rsidR="00512872">
        <w:t xml:space="preserve"> Details</w:t>
      </w:r>
    </w:p>
    <w:p w14:paraId="32ABD29B" w14:textId="77777777" w:rsidR="0008287D" w:rsidRDefault="0008287D" w:rsidP="0008287D">
      <w:pPr>
        <w:rPr>
          <w:lang w:val="en-GB"/>
        </w:rPr>
      </w:pPr>
      <w:r>
        <w:rPr>
          <w:lang w:val="en-GB"/>
        </w:rPr>
        <w:t>Compared to the self-scheduling baseline, the buffering requirement for cross-carrier scheduling can be higher due to worse PDCCH timeline. This is evident for the scenario where the carrier with larger SCS schedules the one with smaller SCS.</w:t>
      </w:r>
    </w:p>
    <w:tbl>
      <w:tblPr>
        <w:tblStyle w:val="TableGrid"/>
        <w:tblW w:w="0" w:type="auto"/>
        <w:tblLook w:val="04A0" w:firstRow="1" w:lastRow="0" w:firstColumn="1" w:lastColumn="0" w:noHBand="0" w:noVBand="1"/>
      </w:tblPr>
      <w:tblGrid>
        <w:gridCol w:w="9628"/>
      </w:tblGrid>
      <w:tr w:rsidR="0008287D" w14:paraId="12FA490A" w14:textId="77777777" w:rsidTr="00D04AD7">
        <w:trPr>
          <w:cantSplit/>
        </w:trPr>
        <w:tc>
          <w:tcPr>
            <w:tcW w:w="9628" w:type="dxa"/>
          </w:tcPr>
          <w:p w14:paraId="04BB5DED" w14:textId="77777777" w:rsidR="0008287D" w:rsidRDefault="0008287D" w:rsidP="00D04AD7">
            <w:pPr>
              <w:rPr>
                <w:lang w:val="en-GB"/>
              </w:rPr>
            </w:pPr>
            <w:r>
              <w:rPr>
                <w:lang w:val="en-GB"/>
              </w:rPr>
              <w:t>Self-scheduling: CC2 is scheduled by itself, k0=0</w:t>
            </w:r>
          </w:p>
          <w:p w14:paraId="230F09DE" w14:textId="77777777" w:rsidR="0008287D" w:rsidRDefault="0008287D" w:rsidP="00D04AD7">
            <w:pPr>
              <w:rPr>
                <w:lang w:val="en-GB"/>
              </w:rPr>
            </w:pPr>
            <w:r>
              <w:rPr>
                <w:noProof/>
              </w:rPr>
              <w:drawing>
                <wp:inline distT="0" distB="0" distL="0" distR="0" wp14:anchorId="4FDE864F" wp14:editId="26D3613D">
                  <wp:extent cx="4965192" cy="2203704"/>
                  <wp:effectExtent l="0" t="0" r="698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65192" cy="2203704"/>
                          </a:xfrm>
                          <a:prstGeom prst="rect">
                            <a:avLst/>
                          </a:prstGeom>
                        </pic:spPr>
                      </pic:pic>
                    </a:graphicData>
                  </a:graphic>
                </wp:inline>
              </w:drawing>
            </w:r>
          </w:p>
        </w:tc>
      </w:tr>
      <w:tr w:rsidR="0008287D" w14:paraId="22973D78" w14:textId="77777777" w:rsidTr="00D04AD7">
        <w:trPr>
          <w:cantSplit/>
        </w:trPr>
        <w:tc>
          <w:tcPr>
            <w:tcW w:w="9628" w:type="dxa"/>
          </w:tcPr>
          <w:p w14:paraId="26D0D1BC" w14:textId="77777777" w:rsidR="0008287D" w:rsidRDefault="0008287D" w:rsidP="00D04AD7">
            <w:pPr>
              <w:rPr>
                <w:lang w:val="en-GB"/>
              </w:rPr>
            </w:pPr>
            <w:r>
              <w:rPr>
                <w:lang w:val="en-GB"/>
              </w:rPr>
              <w:t>Cross-carrier scheduling: CC2 is scheduled by CC1, k0=0 is allowed</w:t>
            </w:r>
          </w:p>
          <w:p w14:paraId="340AEF9E" w14:textId="77777777" w:rsidR="0008287D" w:rsidRDefault="0008287D" w:rsidP="00D04AD7">
            <w:pPr>
              <w:rPr>
                <w:lang w:val="en-GB"/>
              </w:rPr>
            </w:pPr>
            <w:r>
              <w:rPr>
                <w:noProof/>
              </w:rPr>
              <w:drawing>
                <wp:inline distT="0" distB="0" distL="0" distR="0" wp14:anchorId="16462127" wp14:editId="1B728D4B">
                  <wp:extent cx="2944368" cy="2322576"/>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44368" cy="2322576"/>
                          </a:xfrm>
                          <a:prstGeom prst="rect">
                            <a:avLst/>
                          </a:prstGeom>
                        </pic:spPr>
                      </pic:pic>
                    </a:graphicData>
                  </a:graphic>
                </wp:inline>
              </w:drawing>
            </w:r>
          </w:p>
        </w:tc>
      </w:tr>
    </w:tbl>
    <w:p w14:paraId="1F1DD97F" w14:textId="77777777" w:rsidR="0008287D" w:rsidRDefault="0008287D" w:rsidP="0008287D">
      <w:pPr>
        <w:rPr>
          <w:lang w:val="en-GB"/>
        </w:rPr>
      </w:pPr>
    </w:p>
    <w:p w14:paraId="572D99C1" w14:textId="77777777" w:rsidR="0008287D" w:rsidRDefault="0008287D" w:rsidP="0008287D">
      <w:pPr>
        <w:rPr>
          <w:lang w:val="en-GB"/>
        </w:rPr>
      </w:pPr>
      <w:r>
        <w:rPr>
          <w:lang w:val="en-GB"/>
        </w:rPr>
        <w:t>The extra buffering requirement is due to the extra latency for PDCCH scheduling CC2 being decoded based on CC1 timeline, relative to the self-scheduling case for which PDCCH can be decoded based on a tighter timeline.</w:t>
      </w:r>
    </w:p>
    <w:p w14:paraId="0B7058EF" w14:textId="77777777" w:rsidR="0008287D" w:rsidRDefault="0008287D" w:rsidP="0008287D">
      <w:pPr>
        <w:rPr>
          <w:lang w:val="en-GB"/>
        </w:rPr>
      </w:pPr>
      <w:r>
        <w:rPr>
          <w:lang w:val="en-GB"/>
        </w:rPr>
        <w:lastRenderedPageBreak/>
        <w:t>It is evident that if k0 is constraint to be greater than or equal to some non-zero threshold, the extra buffering requirement can be reduced or eliminated.</w:t>
      </w:r>
    </w:p>
    <w:p w14:paraId="701077CD" w14:textId="77777777" w:rsidR="0008287D" w:rsidRDefault="0008287D" w:rsidP="0008287D">
      <w:pPr>
        <w:rPr>
          <w:lang w:val="en-GB"/>
        </w:rPr>
      </w:pPr>
      <w:r>
        <w:rPr>
          <w:lang w:val="en-GB"/>
        </w:rPr>
        <w:t xml:space="preserve">Another scenario is when the SCS of the scheduling carrier is much smaller than that of the scheduled carrier, slot level non-causality may result. For example, </w:t>
      </w:r>
      <w:r w:rsidRPr="00F4481E">
        <w:rPr>
          <w:lang w:val="en-GB"/>
        </w:rPr>
        <w:t xml:space="preserve">the scheduling carrier’s SCS is 15kHz and the scheduled carrier’s SCS is 120kHz, </w:t>
      </w:r>
      <w:r>
        <w:rPr>
          <w:lang w:val="en-GB"/>
        </w:rPr>
        <w:t>the disparity is by a factor of eight. It is obvious that an additional constraint of “minimum k0 threshold” would alleviate or eliminate the non-causality condition.</w:t>
      </w:r>
    </w:p>
    <w:tbl>
      <w:tblPr>
        <w:tblStyle w:val="TableGrid"/>
        <w:tblW w:w="0" w:type="auto"/>
        <w:tblLook w:val="04A0" w:firstRow="1" w:lastRow="0" w:firstColumn="1" w:lastColumn="0" w:noHBand="0" w:noVBand="1"/>
      </w:tblPr>
      <w:tblGrid>
        <w:gridCol w:w="9628"/>
      </w:tblGrid>
      <w:tr w:rsidR="0008287D" w14:paraId="647D2D0A" w14:textId="77777777" w:rsidTr="00D04AD7">
        <w:tc>
          <w:tcPr>
            <w:tcW w:w="9628" w:type="dxa"/>
          </w:tcPr>
          <w:p w14:paraId="42D0EF67" w14:textId="77777777" w:rsidR="0008287D" w:rsidRDefault="0008287D" w:rsidP="00D04AD7">
            <w:pPr>
              <w:rPr>
                <w:lang w:val="en-GB"/>
              </w:rPr>
            </w:pPr>
            <w:r>
              <w:rPr>
                <w:noProof/>
              </w:rPr>
              <w:drawing>
                <wp:inline distT="0" distB="0" distL="0" distR="0" wp14:anchorId="14A32B99" wp14:editId="52CC4CA5">
                  <wp:extent cx="5093208" cy="2103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93208" cy="2103120"/>
                          </a:xfrm>
                          <a:prstGeom prst="rect">
                            <a:avLst/>
                          </a:prstGeom>
                        </pic:spPr>
                      </pic:pic>
                    </a:graphicData>
                  </a:graphic>
                </wp:inline>
              </w:drawing>
            </w:r>
          </w:p>
        </w:tc>
      </w:tr>
    </w:tbl>
    <w:p w14:paraId="3135C4AE" w14:textId="77777777" w:rsidR="0008287D" w:rsidRDefault="0008287D" w:rsidP="0008287D">
      <w:pPr>
        <w:rPr>
          <w:lang w:val="en-GB"/>
        </w:rPr>
      </w:pPr>
    </w:p>
    <w:p w14:paraId="76C71E33" w14:textId="77777777" w:rsidR="0008287D" w:rsidRDefault="0008287D" w:rsidP="0008287D">
      <w:pPr>
        <w:rPr>
          <w:lang w:val="en-GB"/>
        </w:rPr>
      </w:pPr>
      <w:r>
        <w:rPr>
          <w:lang w:val="en-GB"/>
        </w:rPr>
        <w:t>Cross-carrier scheduling support in Rel-15 should not result in significantly higher complexity in implementation (i.e. in terms of buffering and non-causal processing).</w:t>
      </w:r>
    </w:p>
    <w:p w14:paraId="69D073EB" w14:textId="77777777" w:rsidR="00512872" w:rsidRDefault="00512872" w:rsidP="00512872">
      <w:pPr>
        <w:pStyle w:val="Heading2"/>
        <w:numPr>
          <w:ilvl w:val="0"/>
          <w:numId w:val="0"/>
        </w:numPr>
        <w:ind w:left="576" w:hanging="576"/>
      </w:pPr>
      <w:bookmarkStart w:id="11" w:name="_GoBack"/>
      <w:bookmarkEnd w:id="11"/>
    </w:p>
    <w:p w14:paraId="53E13993" w14:textId="72754AC6" w:rsidR="00512872" w:rsidRDefault="00512872" w:rsidP="00512872">
      <w:pPr>
        <w:pStyle w:val="Heading2"/>
        <w:numPr>
          <w:ilvl w:val="0"/>
          <w:numId w:val="0"/>
        </w:numPr>
        <w:ind w:left="576" w:hanging="576"/>
      </w:pPr>
      <w:r>
        <w:t xml:space="preserve">A.2 </w:t>
      </w:r>
      <w:r>
        <w:tab/>
      </w:r>
      <w:r>
        <w:t>Other Issues with Cross-Carrier Scheduling</w:t>
      </w:r>
    </w:p>
    <w:p w14:paraId="026AA1EF" w14:textId="409DC61E" w:rsidR="00512872" w:rsidRDefault="00512872" w:rsidP="00512872">
      <w:pPr>
        <w:pStyle w:val="Heading3"/>
        <w:numPr>
          <w:ilvl w:val="0"/>
          <w:numId w:val="0"/>
        </w:numPr>
        <w:ind w:left="720" w:hanging="720"/>
      </w:pPr>
      <w:r>
        <w:t>A.2.1</w:t>
      </w:r>
      <w:r>
        <w:tab/>
      </w:r>
      <w:r>
        <w:tab/>
      </w:r>
      <w:r>
        <w:t>Search space configuration</w:t>
      </w:r>
    </w:p>
    <w:p w14:paraId="4FD30605" w14:textId="77777777" w:rsidR="00512872" w:rsidRDefault="00512872" w:rsidP="00512872">
      <w:pPr>
        <w:rPr>
          <w:lang w:val="en-GB"/>
        </w:rPr>
      </w:pPr>
      <w:r>
        <w:rPr>
          <w:lang w:val="en-GB"/>
        </w:rPr>
        <w:t xml:space="preserve">This issue was discussed in RAN1 #94 and an LS is sent to RAN2 </w:t>
      </w:r>
      <w:r>
        <w:rPr>
          <w:lang w:val="en-GB"/>
        </w:rPr>
        <w:fldChar w:fldCharType="begin"/>
      </w:r>
      <w:r>
        <w:rPr>
          <w:lang w:val="en-GB"/>
        </w:rPr>
        <w:instrText xml:space="preserve"> REF _Ref523741045 \r \h </w:instrText>
      </w:r>
      <w:r>
        <w:rPr>
          <w:lang w:val="en-GB"/>
        </w:rPr>
      </w:r>
      <w:r>
        <w:rPr>
          <w:lang w:val="en-GB"/>
        </w:rPr>
        <w:fldChar w:fldCharType="separate"/>
      </w:r>
      <w:r>
        <w:rPr>
          <w:lang w:val="en-GB"/>
        </w:rPr>
        <w:t>[3]</w:t>
      </w:r>
      <w:r>
        <w:rPr>
          <w:lang w:val="en-GB"/>
        </w:rPr>
        <w:fldChar w:fldCharType="end"/>
      </w:r>
      <w:r>
        <w:rPr>
          <w:lang w:val="en-GB"/>
        </w:rPr>
        <w:t xml:space="preserve"> for full specification support.</w:t>
      </w:r>
    </w:p>
    <w:p w14:paraId="673D9172" w14:textId="41F72045" w:rsidR="00512872" w:rsidRDefault="00512872" w:rsidP="00512872">
      <w:pPr>
        <w:pStyle w:val="Heading3"/>
        <w:numPr>
          <w:ilvl w:val="0"/>
          <w:numId w:val="0"/>
        </w:numPr>
        <w:ind w:left="720" w:hanging="720"/>
      </w:pPr>
      <w:r>
        <w:t xml:space="preserve">A.2.2 </w:t>
      </w:r>
      <w:r>
        <w:tab/>
      </w:r>
      <w:r>
        <w:t>QCL assumptions</w:t>
      </w:r>
    </w:p>
    <w:p w14:paraId="40019F40" w14:textId="77777777" w:rsidR="00512872" w:rsidRDefault="00512872" w:rsidP="00512872">
      <w:pPr>
        <w:jc w:val="both"/>
        <w:rPr>
          <w:lang w:val="en-GB"/>
        </w:rPr>
      </w:pPr>
      <w:r>
        <w:rPr>
          <w:lang w:val="en-GB"/>
        </w:rPr>
        <w:t>As per current specification if the offset between the DCI scheduling a PDSCH and the PDSCH is less than a threshold, the UE is expected to receive the PDSCH using a default QCL. The default QCL is derived from the CORESET of the lowest CORESET ID in the latest slot when one or more CORESETS within an active BWP of the serving cell are configured for the UE. In most cases, there may not be a CORESET configured for the UE in the serving cell where the PDSCH is scheduled, and the QCL assumptions to receive the PDSCH may be ambiguous.</w:t>
      </w:r>
    </w:p>
    <w:p w14:paraId="1947361D" w14:textId="7FC63893" w:rsidR="00512872" w:rsidRPr="001902C0" w:rsidRDefault="00512872" w:rsidP="00512872">
      <w:pPr>
        <w:rPr>
          <w:lang w:val="en-GB"/>
        </w:rPr>
      </w:pPr>
    </w:p>
    <w:p w14:paraId="43225797" w14:textId="77777777" w:rsidR="0008287D" w:rsidRPr="0008287D" w:rsidRDefault="0008287D" w:rsidP="0008287D">
      <w:pPr>
        <w:rPr>
          <w:lang w:val="en-GB"/>
        </w:rPr>
      </w:pPr>
    </w:p>
    <w:sectPr w:rsidR="0008287D" w:rsidRPr="0008287D" w:rsidSect="008331BB">
      <w:headerReference w:type="even" r:id="rId16"/>
      <w:footerReference w:type="even" r:id="rId17"/>
      <w:footerReference w:type="default" r:id="rId18"/>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54ABC" w14:textId="77777777" w:rsidR="00704435" w:rsidRDefault="00704435">
      <w:r>
        <w:separator/>
      </w:r>
    </w:p>
  </w:endnote>
  <w:endnote w:type="continuationSeparator" w:id="0">
    <w:p w14:paraId="2A45D19B" w14:textId="77777777" w:rsidR="00704435" w:rsidRDefault="00704435">
      <w:r>
        <w:continuationSeparator/>
      </w:r>
    </w:p>
  </w:endnote>
  <w:endnote w:type="continuationNotice" w:id="1">
    <w:p w14:paraId="7CE7E49D" w14:textId="77777777" w:rsidR="00704435" w:rsidRDefault="007044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4E0ABB" w:rsidRDefault="004E0A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4E0ABB" w:rsidRDefault="004E0AB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4E0ABB" w:rsidRDefault="004E0A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8B723" w14:textId="77777777" w:rsidR="00704435" w:rsidRDefault="00704435">
      <w:r>
        <w:separator/>
      </w:r>
    </w:p>
  </w:footnote>
  <w:footnote w:type="continuationSeparator" w:id="0">
    <w:p w14:paraId="7C050622" w14:textId="77777777" w:rsidR="00704435" w:rsidRDefault="00704435">
      <w:r>
        <w:continuationSeparator/>
      </w:r>
    </w:p>
  </w:footnote>
  <w:footnote w:type="continuationNotice" w:id="1">
    <w:p w14:paraId="2EAA7283" w14:textId="77777777" w:rsidR="00704435" w:rsidRDefault="007044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4E0ABB" w:rsidRDefault="004E0A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40057"/>
    <w:multiLevelType w:val="hybridMultilevel"/>
    <w:tmpl w:val="4DC889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77138F"/>
    <w:multiLevelType w:val="multilevel"/>
    <w:tmpl w:val="06427FA0"/>
    <w:lvl w:ilvl="0">
      <w:start w:val="2"/>
      <w:numFmt w:val="decimal"/>
      <w:lvlText w:val="%1."/>
      <w:lvlJc w:val="left"/>
      <w:pPr>
        <w:ind w:left="552" w:hanging="55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A996528"/>
    <w:multiLevelType w:val="hybridMultilevel"/>
    <w:tmpl w:val="D7BCD9E4"/>
    <w:lvl w:ilvl="0" w:tplc="01849BC4">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0D0326"/>
    <w:multiLevelType w:val="hybridMultilevel"/>
    <w:tmpl w:val="B1FED8BE"/>
    <w:lvl w:ilvl="0" w:tplc="0C5EDC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C94444"/>
    <w:multiLevelType w:val="hybridMultilevel"/>
    <w:tmpl w:val="42A4FE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D7E059A"/>
    <w:multiLevelType w:val="multilevel"/>
    <w:tmpl w:val="3D6CDD60"/>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6061348A"/>
    <w:multiLevelType w:val="hybridMultilevel"/>
    <w:tmpl w:val="3746D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0"/>
  </w:num>
  <w:num w:numId="4">
    <w:abstractNumId w:val="16"/>
  </w:num>
  <w:num w:numId="5">
    <w:abstractNumId w:val="15"/>
  </w:num>
  <w:num w:numId="6">
    <w:abstractNumId w:val="1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1"/>
  </w:num>
  <w:num w:numId="11">
    <w:abstractNumId w:val="5"/>
  </w:num>
  <w:num w:numId="12">
    <w:abstractNumId w:val="13"/>
  </w:num>
  <w:num w:numId="13">
    <w:abstractNumId w:val="8"/>
  </w:num>
  <w:num w:numId="14">
    <w:abstractNumId w:val="7"/>
  </w:num>
  <w:num w:numId="15">
    <w:abstractNumId w:val="1"/>
  </w:num>
  <w:num w:numId="16">
    <w:abstractNumId w:val="6"/>
  </w:num>
  <w:num w:numId="1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74B"/>
    <w:rsid w:val="00015BCB"/>
    <w:rsid w:val="00015CED"/>
    <w:rsid w:val="000162B2"/>
    <w:rsid w:val="00016441"/>
    <w:rsid w:val="0001645D"/>
    <w:rsid w:val="000164BB"/>
    <w:rsid w:val="000167A6"/>
    <w:rsid w:val="00016DCE"/>
    <w:rsid w:val="00017309"/>
    <w:rsid w:val="000178F8"/>
    <w:rsid w:val="0002002A"/>
    <w:rsid w:val="000203F3"/>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CBA"/>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62"/>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4D74"/>
    <w:rsid w:val="000752CD"/>
    <w:rsid w:val="000755A9"/>
    <w:rsid w:val="00075680"/>
    <w:rsid w:val="00075999"/>
    <w:rsid w:val="00075AB6"/>
    <w:rsid w:val="00076408"/>
    <w:rsid w:val="0007661E"/>
    <w:rsid w:val="00077073"/>
    <w:rsid w:val="0007796D"/>
    <w:rsid w:val="0008022A"/>
    <w:rsid w:val="00080418"/>
    <w:rsid w:val="00080467"/>
    <w:rsid w:val="000805B2"/>
    <w:rsid w:val="00080D74"/>
    <w:rsid w:val="00080FA6"/>
    <w:rsid w:val="00081383"/>
    <w:rsid w:val="000822AD"/>
    <w:rsid w:val="000826FF"/>
    <w:rsid w:val="0008287D"/>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B51"/>
    <w:rsid w:val="000E4C9B"/>
    <w:rsid w:val="000E4D01"/>
    <w:rsid w:val="000E502E"/>
    <w:rsid w:val="000E525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2C0"/>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139"/>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353"/>
    <w:rsid w:val="00235581"/>
    <w:rsid w:val="00235698"/>
    <w:rsid w:val="00236850"/>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EF4"/>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7D9"/>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A7BAA"/>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D7E"/>
    <w:rsid w:val="002C2E8A"/>
    <w:rsid w:val="002C2FCD"/>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548"/>
    <w:rsid w:val="00324701"/>
    <w:rsid w:val="00324874"/>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4AB"/>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1E"/>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4E72"/>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430"/>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4DF"/>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82"/>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3C"/>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18BC"/>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1EC"/>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BF2"/>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872"/>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12"/>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3B5"/>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A89"/>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6F87"/>
    <w:rsid w:val="005471A3"/>
    <w:rsid w:val="00547D9B"/>
    <w:rsid w:val="00547F14"/>
    <w:rsid w:val="00550515"/>
    <w:rsid w:val="0055088A"/>
    <w:rsid w:val="00550D6F"/>
    <w:rsid w:val="005511B1"/>
    <w:rsid w:val="00551248"/>
    <w:rsid w:val="00551483"/>
    <w:rsid w:val="0055157F"/>
    <w:rsid w:val="00551593"/>
    <w:rsid w:val="005517E3"/>
    <w:rsid w:val="005518DC"/>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855"/>
    <w:rsid w:val="00566C25"/>
    <w:rsid w:val="0056719E"/>
    <w:rsid w:val="005676F8"/>
    <w:rsid w:val="00567B3B"/>
    <w:rsid w:val="00567B75"/>
    <w:rsid w:val="0057002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09B"/>
    <w:rsid w:val="00574167"/>
    <w:rsid w:val="00574D14"/>
    <w:rsid w:val="00574FDC"/>
    <w:rsid w:val="005753CA"/>
    <w:rsid w:val="005753DB"/>
    <w:rsid w:val="005756BD"/>
    <w:rsid w:val="00575E09"/>
    <w:rsid w:val="005760C5"/>
    <w:rsid w:val="0057621D"/>
    <w:rsid w:val="005766EA"/>
    <w:rsid w:val="00576903"/>
    <w:rsid w:val="00576A37"/>
    <w:rsid w:val="0057722F"/>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6E86"/>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52"/>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0DAE"/>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5A9"/>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E50"/>
    <w:rsid w:val="00680F30"/>
    <w:rsid w:val="00680F81"/>
    <w:rsid w:val="0068102D"/>
    <w:rsid w:val="00681254"/>
    <w:rsid w:val="00681307"/>
    <w:rsid w:val="006820C0"/>
    <w:rsid w:val="0068226B"/>
    <w:rsid w:val="00682547"/>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BE3"/>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4EF1"/>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435"/>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A2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4E7E"/>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0F4D"/>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BFD"/>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47D"/>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4EE"/>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96C"/>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52"/>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48"/>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97CAC"/>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03FD"/>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14A"/>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4C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685"/>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77E10"/>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84C"/>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3D3B"/>
    <w:rsid w:val="00AC45D6"/>
    <w:rsid w:val="00AC4D1B"/>
    <w:rsid w:val="00AC4D53"/>
    <w:rsid w:val="00AC4D9E"/>
    <w:rsid w:val="00AC4E2E"/>
    <w:rsid w:val="00AC568F"/>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8C"/>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B9B"/>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2FE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5FC3"/>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4DC6"/>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D06"/>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5CB8"/>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8A9"/>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3094"/>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698"/>
    <w:rsid w:val="00CE1976"/>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591"/>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7B5"/>
    <w:rsid w:val="00D039A0"/>
    <w:rsid w:val="00D03AC6"/>
    <w:rsid w:val="00D03C72"/>
    <w:rsid w:val="00D046EF"/>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79"/>
    <w:rsid w:val="00D50C82"/>
    <w:rsid w:val="00D50F95"/>
    <w:rsid w:val="00D5102A"/>
    <w:rsid w:val="00D511FC"/>
    <w:rsid w:val="00D512D1"/>
    <w:rsid w:val="00D513F0"/>
    <w:rsid w:val="00D51565"/>
    <w:rsid w:val="00D51829"/>
    <w:rsid w:val="00D51AAF"/>
    <w:rsid w:val="00D51F84"/>
    <w:rsid w:val="00D52200"/>
    <w:rsid w:val="00D52214"/>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0F"/>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243"/>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5E72"/>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346"/>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9DE"/>
    <w:rsid w:val="00D92CBC"/>
    <w:rsid w:val="00D92FD3"/>
    <w:rsid w:val="00D931F2"/>
    <w:rsid w:val="00D933B9"/>
    <w:rsid w:val="00D938C1"/>
    <w:rsid w:val="00D938CE"/>
    <w:rsid w:val="00D939BB"/>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C97"/>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5C4"/>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4D58"/>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3E6"/>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5B4"/>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49C6"/>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10437"/>
    <w:rsid w:val="00F10465"/>
    <w:rsid w:val="00F10780"/>
    <w:rsid w:val="00F10864"/>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6B0"/>
    <w:rsid w:val="00F42910"/>
    <w:rsid w:val="00F42C2B"/>
    <w:rsid w:val="00F4481E"/>
    <w:rsid w:val="00F44833"/>
    <w:rsid w:val="00F4504C"/>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0B6"/>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105EFB"/>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6"/>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2395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88357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01816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47066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0529C99-6621-4ED8-A6B6-654D59ACE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5</Pages>
  <Words>1560</Words>
  <Characters>8896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QC-JM</cp:lastModifiedBy>
  <cp:revision>6</cp:revision>
  <cp:lastPrinted>2018-04-07T03:05:00Z</cp:lastPrinted>
  <dcterms:created xsi:type="dcterms:W3CDTF">2018-09-03T19:58:00Z</dcterms:created>
  <dcterms:modified xsi:type="dcterms:W3CDTF">2018-09-03T20:52:00Z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NewReviewCycle">
    <vt:lpwstr/>
  </property>
  <property fmtid="{D5CDD505-2E9C-101B-9397-08002B2CF9AE}" pid="5" name="_AdHocReviewCycleID">
    <vt:i4>-1005707128</vt:i4>
  </property>
  <property fmtid="{D5CDD505-2E9C-101B-9397-08002B2CF9AE}" pid="6" name="_EmailSubject">
    <vt:lpwstr>Cross-carrier scheduling with different numerologies</vt:lpwstr>
  </property>
  <property fmtid="{D5CDD505-2E9C-101B-9397-08002B2CF9AE}" pid="7" name="_AuthorEmail">
    <vt:lpwstr>juanm@qti.qualcomm.com</vt:lpwstr>
  </property>
  <property fmtid="{D5CDD505-2E9C-101B-9397-08002B2CF9AE}" pid="8" name="_AuthorEmailDisplayName">
    <vt:lpwstr>Juan Montojo</vt:lpwstr>
  </property>
</Properties>
</file>